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10a4aedaf4209" /></Relationships>
</file>

<file path=word/document.xml><?xml version="1.0" encoding="utf-8"?>
<w:document xmlns:w="http://schemas.openxmlformats.org/wordprocessingml/2006/main">
  <w:body>
    <w:p>
      <w:r>
        <w:t>H-0054.3</w:t>
      </w:r>
    </w:p>
    <w:p>
      <w:pPr>
        <w:jc w:val="center"/>
      </w:pPr>
      <w:r>
        <w:t>_______________________________________________</w:t>
      </w:r>
    </w:p>
    <w:p/>
    <w:p>
      <w:pPr>
        <w:jc w:val="center"/>
      </w:pPr>
      <w:r>
        <w:rPr>
          <w:b/>
        </w:rPr>
        <w:t>HOUSE BILL 1271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Goehner, Goodman, Thai, Fey, Pollet, and Harris-Talley</w:t>
      </w:r>
    </w:p>
    <w:p/>
    <w:p>
      <w:r>
        <w:rPr>
          <w:t xml:space="preserve">Read first time 01/19/21.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continuity of operations in the offices of county elected officials during the current COVID-19 pandemic and future public health crises; amending RCW 2.32.050, 84.41.041, 38.52.040, 70.54.430, 43.09.230, 65.04.140, 46.20.118, 6.21.030, 6.21.040, 6.21.050, 6.21.090, 6.21.100, and 84.56.020; reenacting and amending RCW 6.01.060;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county elected officials to fulfill their statutory responsibilities through continued conduct of essential functions and services during the current COVID-19 pandemic and potential future public health crises requires updating, and at times temporary waiver, of these requirements in statute. The legislature intends to update the manner in which services may be provided; maintaining access and opportunity. In addition, the legislature intends to clarify the conditions under which waiver or suspension of specific statutes may be assumed by county elected officials in order to eliminate temporary barriers to continuity of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2017 c 183 s 1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w:t>
      </w:r>
      <w:r>
        <w:rPr>
          <w:u w:val="single"/>
        </w:rPr>
        <w:t xml:space="preserve">, either in person or electronically if the proceeding is virtual,</w:t>
      </w:r>
      <w:r>
        <w:rPr/>
        <w:t xml:space="preserve">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minutes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2017 c 323 s 507 are each amended to read as follows:</w:t>
      </w:r>
    </w:p>
    <w:p>
      <w:pPr>
        <w:spacing w:before="0" w:after="0" w:line="408" w:lineRule="exact"/>
        <w:ind w:left="0" w:right="0" w:firstLine="576"/>
        <w:jc w:val="left"/>
      </w:pPr>
      <w:r>
        <w:rPr/>
        <w:t xml:space="preserve">(1) Each county assessor must cause taxable real property </w:t>
      </w:r>
      <w:r>
        <w:t>((</w:t>
      </w:r>
      <w:r>
        <w:rPr>
          <w:strike/>
        </w:rPr>
        <w:t xml:space="preserve">to be physically inspected</w:t>
      </w:r>
      <w:r>
        <w:t>))</w:t>
      </w:r>
      <w:r>
        <w:rPr/>
        <w:t xml:space="preserve"> </w:t>
      </w:r>
      <w:r>
        <w:rPr>
          <w:u w:val="single"/>
        </w:rPr>
        <w:t xml:space="preserve">characteristics to be reviewed in accordance with international association of assessing officers standards for physical inspection</w:t>
      </w:r>
      <w:r>
        <w:rPr/>
        <w:t xml:space="preserve">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During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eighteen members who shall be appointed by the adjutant general. The membership of the council shall include, but not be limited to, representatives of city and county governments, sheriffs and police chiefs, </w:t>
      </w:r>
      <w:r>
        <w:rPr>
          <w:u w:val="single"/>
        </w:rPr>
        <w:t xml:space="preserve">county coroners and medical examiners,</w:t>
      </w:r>
      <w:r>
        <w:rPr/>
        <w:t xml:space="preserve">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430</w:t>
      </w:r>
      <w:r>
        <w:rPr/>
        <w:t xml:space="preserve"> and 2015 c 30 s 1 are each amended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chapter 30, Laws of 2015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w:t>
      </w:r>
      <w:r>
        <w:rPr>
          <w:u w:val="single"/>
        </w:rPr>
        <w:t xml:space="preserve">coroners and medical examiners,</w:t>
      </w:r>
      <w:r>
        <w:rPr/>
        <w:t xml:space="preserve">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2020 c 179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w:t>
      </w:r>
      <w:r>
        <w:rPr>
          <w:u w:val="single"/>
        </w:rPr>
        <w:t xml:space="preserve">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(c) a classified statement of all receipts and expenditures by any public institution; and (d)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04</w:t>
      </w:r>
      <w:r>
        <w:rPr/>
        <w:t xml:space="preserve">.</w:t>
      </w:r>
      <w:r>
        <w:t xml:space="preserve">140</w:t>
      </w:r>
      <w:r>
        <w:rPr/>
        <w:t xml:space="preserve"> and 2012 c 117 s 207 are each amended to read as follows:</w:t>
      </w:r>
    </w:p>
    <w:p>
      <w:pPr>
        <w:spacing w:before="0" w:after="0" w:line="408" w:lineRule="exact"/>
        <w:ind w:left="0" w:right="0" w:firstLine="576"/>
        <w:jc w:val="left"/>
      </w:pPr>
      <w:r>
        <w:rPr/>
        <w:t xml:space="preserve">The county auditor in his or her capacity of recorder of deeds is sole custodian of all books in which are recorded deeds, mortgages, judgments, liens, incumbrances, and other instruments of writing, indexes thereto, maps, charts, town plats, survey and other books and papers constituting the records and files in said office of recorder of deeds, and all such records and files are, and shall be, matters of public information, free of charge to any and all persons demanding to inspect or to examine the same, or to search the same for titles of property. It is said recorder's duty to arrange in suitable places the indexes of said books of record, and when practicable, the record books themselves, to the end that the same may be accessible to the public and convenient for said public inspection, examination, and search, and not interfere with the said auditor's personal control and responsibility for the same, or prevent him or her from promptly furnishing the said records and files of his or her said office to persons demanding any information from the same. The said auditor or recorder must and shall, upon demand, and without charge, freely permit any and all persons, during reasonable office hours, to inspect, examine, and search any or all of the records and files of his or her said office, and to gather any information therefrom, and to make any desired notes or memoranda about or concerning the same, and to prepare an abstract or abstracts of title to any and all property therein contained. </w:t>
      </w:r>
      <w:r>
        <w:rPr>
          <w:u w:val="single"/>
        </w:rPr>
        <w:t xml:space="preserve">The county auditor has fulfilled this obligation regarding those records that can be accessed by the public on the county auditor's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118</w:t>
      </w:r>
      <w:r>
        <w:rPr/>
        <w:t xml:space="preserve"> and 2009 c 366 s 1 are each amended to read as follows:</w:t>
      </w:r>
    </w:p>
    <w:p>
      <w:pPr>
        <w:spacing w:before="0" w:after="0" w:line="408" w:lineRule="exact"/>
        <w:ind w:left="0" w:right="0" w:firstLine="576"/>
        <w:jc w:val="left"/>
      </w:pPr>
      <w:r>
        <w:rPr/>
        <w:t xml:space="preserve">(1) The department shall maintain a negative file. It shall contain negatives of all pictures taken by the department of licensing as authorized by this chapter. Negatives in the file shall not be available for public inspection and copying under chapter 42.56 RCW.</w:t>
      </w:r>
    </w:p>
    <w:p>
      <w:pPr>
        <w:spacing w:before="0" w:after="0" w:line="408" w:lineRule="exact"/>
        <w:ind w:left="0" w:right="0" w:firstLine="576"/>
        <w:jc w:val="left"/>
      </w:pPr>
      <w:r>
        <w:rPr/>
        <w:t xml:space="preserve">(2) The department may make the file available to official governmental enforcement agencies to assist in the investigation by the agencies of suspected criminal activity or for the purposes of verifying identity when a law enforcement officer is authorized by law to request identification from an individual.</w:t>
      </w:r>
    </w:p>
    <w:p>
      <w:pPr>
        <w:spacing w:before="0" w:after="0" w:line="408" w:lineRule="exact"/>
        <w:ind w:left="0" w:right="0" w:firstLine="576"/>
        <w:jc w:val="left"/>
      </w:pPr>
      <w:r>
        <w:rPr/>
        <w:t xml:space="preserve">(3) The department shall make the file available to the office of the secretary of state, at the expense of the secretary of state, to assist in maintenance of the statewide voter registration database.</w:t>
      </w:r>
    </w:p>
    <w:p>
      <w:pPr>
        <w:spacing w:before="0" w:after="0" w:line="408" w:lineRule="exact"/>
        <w:ind w:left="0" w:right="0" w:firstLine="576"/>
        <w:jc w:val="left"/>
      </w:pPr>
      <w:r>
        <w:rPr/>
        <w:t xml:space="preserve">(4) The department may also provide a print to the driver's next of kin in the event the driver is deceased.</w:t>
      </w:r>
    </w:p>
    <w:p>
      <w:pPr>
        <w:spacing w:before="0" w:after="0" w:line="408" w:lineRule="exact"/>
        <w:ind w:left="0" w:right="0" w:firstLine="576"/>
        <w:jc w:val="left"/>
      </w:pPr>
      <w:r>
        <w:rPr>
          <w:u w:val="single"/>
        </w:rPr>
        <w:t xml:space="preserve">(5) The department shall make the file available to the county coroner or medical examiner for the purpose of identifying a deceased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2019 c 371 s 2 and 2019 c 227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t xml:space="preserve">(3) "Medical debt" has the same meaning as provided in RCW 19.16.100.</w:t>
      </w:r>
    </w:p>
    <w:p>
      <w:pPr>
        <w:spacing w:before="0" w:after="0" w:line="408" w:lineRule="exact"/>
        <w:ind w:left="0" w:right="0" w:firstLine="576"/>
        <w:jc w:val="left"/>
      </w:pPr>
      <w:r>
        <w:rPr/>
        <w:t xml:space="preserve">(4)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(5) "Public auction sale by electronic media" has the same meaning as provided in RCW 36.16.145.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030</w:t>
      </w:r>
      <w:r>
        <w:rPr/>
        <w:t xml:space="preserve"> and 1987 c 442 s 603 are each amended to read as follows:</w:t>
      </w:r>
    </w:p>
    <w:p>
      <w:pPr>
        <w:spacing w:before="0" w:after="0" w:line="408" w:lineRule="exact"/>
        <w:ind w:left="0" w:right="0" w:firstLine="576"/>
        <w:jc w:val="left"/>
      </w:pPr>
      <w:r>
        <w:rPr/>
        <w:t xml:space="preserve">Before the sale of real property under execution, order of sale, or decree, notice of the sale shall be given as follows:</w:t>
      </w:r>
    </w:p>
    <w:p>
      <w:pPr>
        <w:spacing w:before="0" w:after="0" w:line="408" w:lineRule="exact"/>
        <w:ind w:left="0" w:right="0" w:firstLine="576"/>
        <w:jc w:val="left"/>
      </w:pPr>
      <w:r>
        <w:rPr/>
        <w:t xml:space="preserve">(1) The judgment creditor shall:</w:t>
      </w:r>
    </w:p>
    <w:p>
      <w:pPr>
        <w:spacing w:before="0" w:after="0" w:line="408" w:lineRule="exact"/>
        <w:ind w:left="0" w:right="0" w:firstLine="576"/>
        <w:jc w:val="left"/>
      </w:pPr>
      <w:r>
        <w:rPr/>
        <w:t xml:space="preserve">(a) Not less than thirty days prior to the date of sale, cause a copy of the notice in the form provided in RCW 6.21.040 to be (i) served on the judgment debtor or debtors and each of them in the same manner as a summons in a civil action, or (ii) transmitted both by regular mail and by certified mail, return receipt requested, to the judgment debtor or debtors, and to each of them separately if there is more than one judgment debtor, at each judgment debtor's last known address; and</w:t>
      </w:r>
    </w:p>
    <w:p>
      <w:pPr>
        <w:spacing w:before="0" w:after="0" w:line="408" w:lineRule="exact"/>
        <w:ind w:left="0" w:right="0" w:firstLine="576"/>
        <w:jc w:val="left"/>
      </w:pPr>
      <w:r>
        <w:rPr/>
        <w:t xml:space="preserve">(b) Not less than thirty days prior to the date of sale, mail a copy of the notice of sale to the attorney of record for the judgment debtor, if any; and</w:t>
      </w:r>
    </w:p>
    <w:p>
      <w:pPr>
        <w:spacing w:before="0" w:after="0" w:line="408" w:lineRule="exact"/>
        <w:ind w:left="0" w:right="0" w:firstLine="576"/>
        <w:jc w:val="left"/>
      </w:pPr>
      <w:r>
        <w:rPr/>
        <w:t xml:space="preserve">(c) File an affidavit with the court that the judgment creditor has complied with the notice requirements of this section.</w:t>
      </w:r>
    </w:p>
    <w:p>
      <w:pPr>
        <w:spacing w:before="0" w:after="0" w:line="408" w:lineRule="exact"/>
        <w:ind w:left="0" w:right="0" w:firstLine="576"/>
        <w:jc w:val="left"/>
      </w:pPr>
      <w:r>
        <w:rPr/>
        <w:t xml:space="preserve">(2) The sheriff shall:</w:t>
      </w:r>
    </w:p>
    <w:p>
      <w:pPr>
        <w:spacing w:before="0" w:after="0" w:line="408" w:lineRule="exact"/>
        <w:ind w:left="0" w:right="0" w:firstLine="576"/>
        <w:jc w:val="left"/>
      </w:pPr>
      <w:r>
        <w:rPr/>
        <w:t xml:space="preserve">(a) For a period of not less than four weeks prior to the date of sale, post a notice in the form provided in RCW 6.21.040, particularly describing the property, in two public places in the county in which the property is located, one of which shall be at the courthouse door, </w:t>
      </w:r>
      <w:r>
        <w:t>((</w:t>
      </w:r>
      <w:r>
        <w:rPr>
          <w:strike/>
        </w:rPr>
        <w:t xml:space="preserve">where the property is to be sold,</w:t>
      </w:r>
      <w:r>
        <w:t>))</w:t>
      </w:r>
      <w:r>
        <w:rPr/>
        <w:t xml:space="preserve"> and in case of improved real estate, one of which shall be at the front door of the principal building constituting such improvement; and</w:t>
      </w:r>
    </w:p>
    <w:p>
      <w:pPr>
        <w:spacing w:before="0" w:after="0" w:line="408" w:lineRule="exact"/>
        <w:ind w:left="0" w:right="0" w:firstLine="576"/>
        <w:jc w:val="left"/>
      </w:pPr>
      <w:r>
        <w:rPr/>
        <w:t xml:space="preserve">(b) Publish a notice of the sale once a week, consecutively, for the same period, in any daily or weekly legal newspaper of general circulation published in the county in which the real property to be sold is situated, but if there is more than one legal newspaper published in the county, then the plaintiff or moving party in the action, suit, or proceeding has the exclusive right to designate in which of the qualified newspapers the notice shall be published, and if there is no qualified legal newspaper published in the county, then the notice shall be published in a qualified legal newspaper published in a contiguous county, as designated by the plaintiff or moving party. The published notice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420"/>
        <w:gridCol w:w="1380"/>
        <w:gridCol w:w="540"/>
        <w:gridCol w:w="240"/>
        <w:gridCol w:w="2280"/>
      </w:tblGrid>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800" w:type="dxa"/>
            <w:vAlign w:val="top"/>
            <w:tcMar>
              <w:left w:w="120"/>
            </w:tcMar>
            <w:tcMar>
              <w:right w:w="120"/>
            </w:tcMar>
            <w:tcMar>
              <w:top w:w="0"/>
            </w:tcMar>
            <w:tcMar>
              <w:bottom w:w="0"/>
            </w:tcMar>
          </w:tcPr>
          <w:p>
            <w:pPr>
              <w:spacing w:before="120" w:after="0" w:line="408" w:lineRule="exact"/>
              <w:ind w:left="0" w:right="0" w:firstLine="0"/>
              <w:jc w:val="center"/>
            </w:pPr>
            <w:r>
              <w:rPr>
                <w:rFonts w:ascii="Times New Roman" w:hAnsi="Times New Roman"/>
                <w:sz w:val="20"/>
              </w:rPr>
              <w:t xml:space="preserve">Plaintiff,</w:t>
            </w:r>
          </w:p>
          <w:p>
            <w:pPr>
              <w:spacing w:before="12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2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20"/>
              </w:rPr>
              <w:t xml:space="preserve">CAUSE NO.</w:t>
            </w:r>
          </w:p>
          <w:p>
            <w:pPr>
              <w:spacing w:before="0" w:after="0" w:line="408" w:lineRule="exact"/>
              <w:ind w:left="0" w:right="0" w:firstLine="0"/>
              <w:jc w:val="both"/>
            </w:pPr>
            <w:r>
              <w:rPr>
                <w:rFonts w:ascii="Times New Roman" w:hAnsi="Times New Roman"/>
                <w:sz w:val="20"/>
              </w:rPr>
              <w:t xml:space="preserve">SHERIFF'S PUBLIC</w:t>
            </w:r>
          </w:p>
          <w:p>
            <w:pPr>
              <w:spacing w:before="0" w:after="0" w:line="408" w:lineRule="exact"/>
              <w:ind w:left="0" w:right="0" w:firstLine="0"/>
              <w:jc w:val="both"/>
            </w:pPr>
            <w:r>
              <w:rPr>
                <w:rFonts w:ascii="Times New Roman" w:hAnsi="Times New Roman"/>
                <w:sz w:val="20"/>
              </w:rPr>
              <w:t xml:space="preserve">NOTICE OF SALE OF</w:t>
            </w:r>
          </w:p>
          <w:p>
            <w:pPr>
              <w:spacing w:before="0" w:after="0" w:line="408" w:lineRule="exact"/>
              <w:ind w:left="0" w:right="0" w:firstLine="0"/>
              <w:jc w:val="both"/>
            </w:pPr>
            <w:r>
              <w:rPr>
                <w:rFonts w:ascii="Times New Roman" w:hAnsi="Times New Roman"/>
                <w:sz w:val="20"/>
              </w:rPr>
              <w:t xml:space="preserve">REAL PROPERTY</w:t>
            </w:r>
          </w:p>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If developed, the property address is:   . . . . . .</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Time: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Date: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Place: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Address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City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180"/>
              <w:jc w:val="both"/>
              <w:tabs>
                <w:tab w:val="right" w:leader="dot" w:pos="2508"/>
              </w:tabs>
            </w:pPr>
            <w:r>
              <w:rPr>
                <w:rFonts w:ascii="Times New Roman" w:hAnsi="Times New Roman"/>
                <w:sz w:val="20"/>
              </w:rPr>
              <w:t xml:space="preserve">Washington 9</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Phone (. . .) </w:t>
            </w:r>
            <w:r>
              <w:tab/>
            </w:r>
          </w:p>
        </w:tc>
      </w:tr>
    </w:tbl>
    <w:p>
      <w:pPr>
        <w:spacing w:before="0" w:after="0" w:line="408" w:lineRule="exact"/>
        <w:ind w:left="0" w:right="0" w:firstLine="576"/>
        <w:jc w:val="left"/>
      </w:pPr>
      <w:r>
        <w:rPr>
          <w:u w:val="single"/>
        </w:rPr>
        <w:t xml:space="preserve">(c) If the sale is to take place via electronic media, notice of the public sale shall also be posted on the website hosting the auction sale for a period not less than four weeks prior to the date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2016 c 202 s 1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if the sale is to be conducted by electronic media, include the web address of the sale website.</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1.  No redemption rights after sale.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2.  A redemption period of eight months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180"/>
              <w:jc w:val="both"/>
            </w:pPr>
            <w:r>
              <w:rPr>
                <w:rFonts w:ascii="Times New Roman" w:hAnsi="Times New Roman"/>
                <w:sz w:val="20"/>
              </w:rPr>
              <w:t xml:space="preserve">□  3.  A redemption period of one year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vMerge w:val="restart"/>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IMPORTANT NOTICE: IF THE JUDGMENT DEBTOR OR DEBTORS DO NOT REDEEM THE PROPERTY BY 4:30 p.m. ON THE  . . . . DAY OF  . . . . . ., (year) . . . ., THE END OF THE REDEMPTION PERIOD, THE PURCHASER AT THE SHERIFF'S SALE WILL BECOME THE OWNER AND MAY EVICT THE OCCUPANT FROM THE PROPERTY UNLESS THE OCCUPANT IS A TENANT HOLDING UNDER AN UNEXPIRED LEASE. IF THE PROPERTY TO BE SOLD</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 . . . . . SHERIFF-DIRECTOR,  . . . . . . COUNTY, WASHINGTON.</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both"/>
            </w:pPr>
          </w:p>
        </w:tc>
        <w:tc>
          <w:tcPr>
            <w:gridSpan w:val="2"/>
            <w:tcW w:w="302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050</w:t>
      </w:r>
      <w:r>
        <w:rPr/>
        <w:t xml:space="preserve"> and 1987 c 442 s 605 are each amended to read as follows:</w:t>
      </w:r>
    </w:p>
    <w:p>
      <w:pPr>
        <w:spacing w:before="0" w:after="0" w:line="408" w:lineRule="exact"/>
        <w:ind w:left="0" w:right="0" w:firstLine="576"/>
        <w:jc w:val="left"/>
      </w:pPr>
      <w:r>
        <w:rPr/>
        <w:t xml:space="preserve">(1) All sales of property under execution, order of sale, or decree, shall be made by auction between nine o'clock in the morning and four o'clock in the afternoon. Sale of a public franchise under execution or order of sale on foreclosure must be made at the front door of the courthouse in the county in which the franchise was granted </w:t>
      </w:r>
      <w:r>
        <w:rPr>
          <w:u w:val="single"/>
        </w:rPr>
        <w:t xml:space="preserve">or by public auction sale by electronic media</w:t>
      </w:r>
      <w:r>
        <w:rPr/>
        <w:t xml:space="preserve">. Sales of real property shall be made at the courthouse door </w:t>
      </w:r>
      <w:r>
        <w:rPr>
          <w:u w:val="single"/>
        </w:rPr>
        <w:t xml:space="preserve">or by public auction sale by electronic media</w:t>
      </w:r>
      <w:r>
        <w:rPr/>
        <w:t xml:space="preserve"> on Friday unless Friday is a legal holiday and then the sale shall be held on the next following regular business day.</w:t>
      </w:r>
    </w:p>
    <w:p>
      <w:pPr>
        <w:spacing w:before="0" w:after="0" w:line="408" w:lineRule="exact"/>
        <w:ind w:left="0" w:right="0" w:firstLine="576"/>
        <w:jc w:val="left"/>
      </w:pPr>
      <w:r>
        <w:rPr/>
        <w:t xml:space="preserve">(2) If at the time appointed for the sale the sheriff is prevented from attending at the place appointed or, being present, should deem it for the advantage of all concerned to postpone the sale for want of purchasers, or other sufficient cause, the sheriff may postpone the sale not exceeding one week next after the day appointed, and so from time to time for the like cause, giving notice of every adjournment by public proclamation made at the same time, and by posting written notices of such adjournment under the notices of sale originally posted. The sheriff for like causes may also adjourn the sale from time to time, not exceeding thirty days beyond the day at which the writ is made returnable, with the consent of the plaintiff indorsed upon the writ.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090</w:t>
      </w:r>
      <w:r>
        <w:rPr/>
        <w:t xml:space="preserve"> and 1987 c 442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form and manner of selling real estate by execution shall be as follows: The sheriff shall proclaim aloud at the place of sale, in the hearing of all the bystanders: "I am about to sell the following tracts of real estate (here reading the description,) upon the following execution:" (here reading the execution). The sheriff shall also state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u w:val="single"/>
        </w:rPr>
        <w:t xml:space="preserve">(b) If the sale is by electronic media, a copy of the execution shall be posted on the website hosting the auction sale. The website shall also include a statement from the sheriff that states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t xml:space="preserve">(2) If the sale is of real property consisting of several known lots or parcels, they shall be sold separately or otherwise as the sheriff deems likely to bring the highest price, except that if an interest in a portion of such real property is claimed by a third person who, by request directed to the sheriff in writing prior to the sale or orally or in writing at the sale before the bidding is begun, requests that it be sold separately, such portion shall be sold separately. Bids on all land except town lots may be by the acre or by tract or parcel.</w:t>
      </w:r>
    </w:p>
    <w:p>
      <w:pPr>
        <w:spacing w:before="0" w:after="0" w:line="408" w:lineRule="exact"/>
        <w:ind w:left="0" w:right="0" w:firstLine="576"/>
        <w:jc w:val="left"/>
      </w:pPr>
      <w:r>
        <w:rPr/>
        <w:t xml:space="preserve">(3) If the land is sold by the acre and any fewer number of acres than the whole tract or parcel is sold, it shall be measured off to the purchaser in a square form, from the northeast corner of the tract or parcel, unless some person claiming an interest in the land, by request directed to the sheriff in writing prior to the sale or orally or in writing at the sale before the bidding is begun, requests that the land sold be taken from some other part or in some other form; in such case, if the request is reasonable, the officer making the sale shall sell accordingly.</w:t>
      </w:r>
    </w:p>
    <w:p>
      <w:pPr>
        <w:spacing w:before="0" w:after="0" w:line="408" w:lineRule="exact"/>
        <w:ind w:left="0" w:right="0" w:firstLine="576"/>
        <w:jc w:val="left"/>
      </w:pPr>
      <w:r>
        <w:rPr/>
        <w:t xml:space="preserve">(4) If an entire tract or parcel of land is sold by the acre, it shall not be measured but shall be deemed and taken to contain the number of acres named in the description, and be paid for accordingly; and if the number of acres is not contained in the description, the officer shall declare according to his or her judgment how many acres are contained therein, which shall be deemed and taken to be the true number of acres.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100</w:t>
      </w:r>
      <w:r>
        <w:rPr/>
        <w:t xml:space="preserve"> and 1987 c 442 s 610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officer shall strike off the land to the highest bidder, who shall forthwith pay the money bid to the officer</w:t>
      </w:r>
      <w:r>
        <w:t>((</w:t>
      </w:r>
      <w:r>
        <w:rPr>
          <w:strike/>
        </w:rPr>
        <w:t xml:space="preserve">, who shall return the money with the execution and the report of proceedings on the execution to the clerk of the court from which the execution issued: PROVIDED, HOWEVER, That when</w:t>
      </w:r>
      <w:r>
        <w:t>))</w:t>
      </w:r>
      <w:r>
        <w:rPr/>
        <w:t xml:space="preserve"> </w:t>
      </w:r>
      <w:r>
        <w:rPr>
          <w:u w:val="single"/>
        </w:rPr>
        <w:t xml:space="preserve">or to their agent conducting the sale by electronic media. The sheriff or their agent conducting the sale by electronic media shall tender the money to the clerk of the court that issued the writ.</w:t>
      </w:r>
    </w:p>
    <w:p>
      <w:pPr>
        <w:spacing w:before="0" w:after="0" w:line="408" w:lineRule="exact"/>
        <w:ind w:left="0" w:right="0" w:firstLine="576"/>
        <w:jc w:val="left"/>
      </w:pPr>
      <w:r>
        <w:rPr>
          <w:u w:val="single"/>
        </w:rPr>
        <w:t xml:space="preserve">(b) When</w:t>
      </w:r>
      <w:r>
        <w:rPr/>
        <w:t xml:space="preserve"> final judgment shall have been entered in the supreme court or the court of appeals and the execution upon which sale has been made issued from said court, the return shall be made to the superior court in which the action was originally commenced, and the same proceedings shall be had as though execution had issued from that superior court.</w:t>
      </w:r>
    </w:p>
    <w:p>
      <w:pPr>
        <w:spacing w:before="0" w:after="0" w:line="408" w:lineRule="exact"/>
        <w:ind w:left="0" w:right="0" w:firstLine="576"/>
        <w:jc w:val="left"/>
      </w:pPr>
      <w:r>
        <w:rPr/>
        <w:t xml:space="preserve">(2) At the time of the sale, the sheriff shall prepare a certificate of the sale, containing a particular description of the property sold, the price bid for each distinct lot or parcel, and the whole price paid; and when subject to redemption, it shall be so stated. The matters contained in such certificate shall be substantially stated in the sheriff's return of proceedings upon the writ. Upon receipt of the purchase price, the sheriff shall give a copy of the certificate to the purchaser and the original certificate to the clerk of the court with the return on the execution to hold for delivery to the purchaser upon confirmation of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w:t>
      </w:r>
      <w:r>
        <w:rPr>
          <w:u w:val="single"/>
        </w:rPr>
        <w:t xml:space="preserve">, personal property,</w:t>
      </w:r>
      <w:r>
        <w:rPr/>
        <w:t xml:space="preserve">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2022.</w:t>
      </w:r>
    </w:p>
    <w:p/>
    <w:p>
      <w:pPr>
        <w:jc w:val="center"/>
      </w:pPr>
      <w:r>
        <w:rPr>
          <w:b/>
        </w:rPr>
        <w:t>--- END ---</w:t>
      </w:r>
    </w:p>
    <w:sectPr>
      <w:pgNumType w:start="1"/>
      <w:footerReference xmlns:r="http://schemas.openxmlformats.org/officeDocument/2006/relationships" r:id="R007d22ab45f348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0673fc6cc4535" /><Relationship Type="http://schemas.openxmlformats.org/officeDocument/2006/relationships/footer" Target="/word/footer1.xml" Id="R007d22ab45f3482a" /></Relationships>
</file>