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d1d4795410499b" /></Relationships>
</file>

<file path=word/document.xml><?xml version="1.0" encoding="utf-8"?>
<w:document xmlns:w="http://schemas.openxmlformats.org/wordprocessingml/2006/main">
  <w:body>
    <w:p>
      <w:r>
        <w:t>H-1085.1</w:t>
      </w:r>
    </w:p>
    <w:p>
      <w:pPr>
        <w:jc w:val="center"/>
      </w:pPr>
      <w:r>
        <w:t>_______________________________________________</w:t>
      </w:r>
    </w:p>
    <w:p/>
    <w:p>
      <w:pPr>
        <w:jc w:val="center"/>
      </w:pPr>
      <w:r>
        <w:rPr>
          <w:b/>
        </w:rPr>
        <w:t>SECOND SUBSTITUTE HOUSE BILL 1272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Macri, Cody, Fitzgibbon, Davis, Hackney, Thai, Kloba, Rule, Simmons, Pollet, Dolan, Slatter, Riccelli,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(8)</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w:t>
      </w:r>
      <w:r>
        <w:rPr>
          <w:u w:val="single"/>
        </w:rPr>
        <w:t xml:space="preserve">Patient discharge information reported by hospitals to the department must identify patients by race, ethnicity, gender identity, preferred language, any disability, zip code of primary residence, whether the patient applied for charity care, whether the patient received charity care, and whether the patient reported an income of 400 percent of the federal poverty level or less.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(7)</w:t>
      </w:r>
      <w:r>
        <w:rPr/>
        <w:t xml:space="preserve">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(9)</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Recipients of data under subsection </w:t>
      </w:r>
      <w:r>
        <w:t>((</w:t>
      </w:r>
      <w:r>
        <w:rPr>
          <w:strike/>
        </w:rPr>
        <w:t xml:space="preserve">(7)</w:t>
      </w:r>
      <w:r>
        <w:t>))</w:t>
      </w:r>
      <w:r>
        <w:rPr/>
        <w:t xml:space="preserve"> </w:t>
      </w:r>
      <w:r>
        <w:rPr>
          <w:u w:val="single"/>
        </w:rPr>
        <w:t xml:space="preserve">(8)</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(8)</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Each hospital must report the following information to the department each month:</w:t>
      </w:r>
    </w:p>
    <w:p>
      <w:pPr>
        <w:spacing w:before="0" w:after="0" w:line="408" w:lineRule="exact"/>
        <w:ind w:left="0" w:right="0" w:firstLine="576"/>
        <w:jc w:val="left"/>
      </w:pPr>
      <w:r>
        <w:rPr/>
        <w:t xml:space="preserve">(a) The number of days of critical staffing, by job class. Critical staffing job classes include environmental services, nurses, other health care personnel, other licensed independent practitioners, pharmacy and pharmacy technicians, physicians, respiratory therapists, temporary physicians, temporary nurses, temporary respiratory therapists, temporary pharmacists, and other job classes identified by the department; and</w:t>
      </w:r>
    </w:p>
    <w:p>
      <w:pPr>
        <w:spacing w:before="0" w:after="0" w:line="408" w:lineRule="exact"/>
        <w:ind w:left="0" w:right="0" w:firstLine="576"/>
        <w:jc w:val="left"/>
      </w:pPr>
      <w:r>
        <w:rPr/>
        <w:t xml:space="preserve">(b) Mortality rates, including race and ethnicity mortality rates among labor and delivery patients.</w:t>
      </w:r>
    </w:p>
    <w:p>
      <w:pPr>
        <w:spacing w:before="0" w:after="0" w:line="408" w:lineRule="exact"/>
        <w:ind w:left="0" w:right="0" w:firstLine="576"/>
        <w:jc w:val="left"/>
      </w:pPr>
      <w:r>
        <w:rPr/>
        <w:t xml:space="preserve">(2) The department must adopt rules to implement the reporting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A hospital, other than a hospital designated by medicare as a critical access hospital or sole community hospital, that is subject to the requirements under subsection (1) of this section must submit an addendum which details information about activities identified as community health improvement services. The information must specify the type of activity, the method in which each type of activity was provided, the resources used to provide the activity, how the activity addresses the identified needs of the community, how each activity may correspond to follow-up services offered by the hospital, the cost of providing each type of activity with the methodology used to determine the hospital's costs written in plain English, and any materials provided to activity participants. In addition, the information must identify participants by race, ethnicity, gender identity, preferred language, any disability, zip code of primary residence, and whether the participant has an income of 200 percent of the federal poverty level or less.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u w:val="single"/>
        </w:rPr>
        <w:t xml:space="preserve">(ii) A hospital designated by medicare as a critical access hospital or sole community hospital that is subject to the requirements under subsection (1) of this section must submit an addendum which details information about the 10 highest cost activities identified as community health improvement services. The information must specify the type of activity, the method in which each type of activity was provided, the resources used to provide the activity, how the activity addresses the identified needs of the community, how each activity may correspond to follow-up services offered by the hospital, the cost of providing each type of activity with the methodology used to determine the hospital's costs written in plain English, and any materials provided to activity participants. In addition, the information must identify participants by race, ethnicity, gender identity, preferred language, any disability, zip code of primary residence, and whether the participant has an income of 200 percent of the federal poverty level or less.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u w:val="single"/>
        </w:rPr>
        <w:t xml:space="preserve">(iii) The department shall provide guidance on participant data collection and the reporting requirements under this subsection (2)(b). The department must develop the guidelines in consultation with stakeholders, including an association representing hospitals in Washington, labor unions representing workers who work in hospital settings, and community health board associations.</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3681066c103c4d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5e080b73b434f" /><Relationship Type="http://schemas.openxmlformats.org/officeDocument/2006/relationships/footer" Target="/word/footer1.xml" Id="R3681066c103c4d0b" /></Relationships>
</file>