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efaea1e75442e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Ramel, Hackney, Bateman, Fitzgibbon, Berry, Goodman, Santos, Kloba, Macri, Bergquist, Ormsby,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preparedness for a zero emissions transportation future; amending RCW 19.280.030, 19.27.540, and 82.44.200;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gas stations,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Forecast statewide zero emissions vehicle use that would achieve the emissions reductions consistent with RCW 70A.45.020. The department may reference existing zero emissions vehicle use forecasts,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RCW 70A.45.020.</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t xml:space="preserve">(c) The required rules required under this subsection must be implemented by July 1, 2021.</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w:t>
      </w:r>
      <w:r>
        <w:rPr>
          <w:u w:val="single"/>
        </w:rPr>
        <w:t xml:space="preserve">, including section 2 of this act</w:t>
      </w:r>
      <w:r>
        <w:rPr/>
        <w:t xml:space="preserve">. Moneys in the account may be spent only after appropriation.</w:t>
      </w:r>
    </w:p>
    <w:p/>
    <w:p>
      <w:pPr>
        <w:jc w:val="center"/>
      </w:pPr>
      <w:r>
        <w:rPr>
          <w:b/>
        </w:rPr>
        <w:t>--- END ---</w:t>
      </w:r>
    </w:p>
    <w:sectPr>
      <w:pgNumType w:start="1"/>
      <w:footerReference xmlns:r="http://schemas.openxmlformats.org/officeDocument/2006/relationships" r:id="Rb9a1369bfac44f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0fa2f53614807" /><Relationship Type="http://schemas.openxmlformats.org/officeDocument/2006/relationships/footer" Target="/word/footer1.xml" Id="Rb9a1369bfac44f06" /></Relationships>
</file>