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f5d4abbab471b" /></Relationships>
</file>

<file path=word/document.xml><?xml version="1.0" encoding="utf-8"?>
<w:document xmlns:w="http://schemas.openxmlformats.org/wordprocessingml/2006/main">
  <w:body>
    <w:p>
      <w:r>
        <w:t>H-0411.1</w:t>
      </w:r>
    </w:p>
    <w:p>
      <w:pPr>
        <w:jc w:val="center"/>
      </w:pPr>
      <w:r>
        <w:t>_______________________________________________</w:t>
      </w:r>
    </w:p>
    <w:p/>
    <w:p>
      <w:pPr>
        <w:jc w:val="center"/>
      </w:pPr>
      <w:r>
        <w:rPr>
          <w:b/>
        </w:rPr>
        <w:t>HOUSE BILL 1287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Hackney, Bateman, Fitzgibbon, Berry, Goodman, Santos, Kloba, Macri, Bergquist, Ormsby, and Pollet</w:t>
      </w:r>
    </w:p>
    <w:p/>
    <w:p>
      <w:r>
        <w:rPr>
          <w:t xml:space="preserve">Read first time 01/19/21.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and 19.27.540;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refueling infrastructure, and managing the load of charging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ecology, the department of transportation,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 initially prioritize on-road transportation and, to the greatest extent possible, maintain the latest data and model charging and refueling infrastructure that may be used by owners and operators of light, medium, and heavy-duty vehicles. The tool must incorporate department of transportation traffic and traveler information, such as traffic volumes and travel patterns,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 and</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(3) The department, in consultation with the department of transportation,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for modeled electric vehicle supply equipment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identification of refueling infrastructure must, if possible, distinguish refueling infrastructure that supplies renewable hydrogen, as defined in RCW 19.405.020, from other hydrogen refueling infrastructure;</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 and</w:t>
      </w:r>
    </w:p>
    <w:p>
      <w:pPr>
        <w:spacing w:before="0" w:after="0" w:line="408" w:lineRule="exact"/>
        <w:ind w:left="0" w:right="0" w:firstLine="576"/>
        <w:jc w:val="left"/>
      </w:pPr>
      <w:r>
        <w:rPr/>
        <w:t xml:space="preserve">(d) Adoption of autonomous and shared mobility services.</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department's state energy strategy, the joint transportation committee's public fleet electrification study, the west coast collaborative's alternative fuel infrastructure corridor coalition report, and other related electric vehicle supply equipment assessments as deemed appropriate.</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transportation,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w:t>
      </w:r>
    </w:p>
    <w:p>
      <w:pPr>
        <w:spacing w:before="0" w:after="0" w:line="408" w:lineRule="exact"/>
        <w:ind w:left="0" w:right="0" w:firstLine="576"/>
        <w:jc w:val="left"/>
      </w:pPr>
      <w:r>
        <w:rPr/>
        <w:t xml:space="preserve">(11) The department may contract with consultants to develop and implement all or portions of the mapping and forecasting tool. The department may rely on or, to the extent necessary, contract for privately-maintained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supports and accounts for:</w:t>
      </w:r>
    </w:p>
    <w:p>
      <w:pPr>
        <w:spacing w:before="0" w:after="0" w:line="408" w:lineRule="exact"/>
        <w:ind w:left="0" w:right="0" w:firstLine="576"/>
        <w:jc w:val="left"/>
      </w:pPr>
      <w:r>
        <w:rPr>
          <w:u w:val="single"/>
        </w:rPr>
        <w:t xml:space="preserve">(i)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For plans due to be filed after September 1, 2023, relevant infrastructure forecasts and the associated energy impacts, which may include those generated by the mapping and forecasting tool created in section 2 of this act</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Supports and accounts for:</w:t>
      </w:r>
    </w:p>
    <w:p>
      <w:pPr>
        <w:spacing w:before="0" w:after="0" w:line="408" w:lineRule="exact"/>
        <w:ind w:left="0" w:right="0" w:firstLine="576"/>
        <w:jc w:val="left"/>
      </w:pPr>
      <w:r>
        <w:rPr>
          <w:u w:val="single"/>
        </w:rPr>
        <w:t xml:space="preserve">(i)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or 54.16.430; and</w:t>
      </w:r>
    </w:p>
    <w:p>
      <w:pPr>
        <w:spacing w:before="0" w:after="0" w:line="408" w:lineRule="exact"/>
        <w:ind w:left="0" w:right="0" w:firstLine="576"/>
        <w:jc w:val="left"/>
      </w:pPr>
      <w:r>
        <w:rPr>
          <w:u w:val="single"/>
        </w:rPr>
        <w:t xml:space="preserve">(iii) For plans due to be filed after September 1, 2023, relevant infrastructure forecasts and the associated energy impacts generated, which may include those generated by the mapping and forecasting tool created in section 2 of this act</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t xml:space="preserve">(c) The required rules required under this subsection must be implemented by July 1, 2021.</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w:t>
      </w:r>
    </w:p>
    <w:p/>
    <w:p>
      <w:pPr>
        <w:jc w:val="center"/>
      </w:pPr>
      <w:r>
        <w:rPr>
          <w:b/>
        </w:rPr>
        <w:t>--- END ---</w:t>
      </w:r>
    </w:p>
    <w:sectPr>
      <w:pgNumType w:start="1"/>
      <w:footerReference xmlns:r="http://schemas.openxmlformats.org/officeDocument/2006/relationships" r:id="R627a72cf492d4f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332c11fc64aa2" /><Relationship Type="http://schemas.openxmlformats.org/officeDocument/2006/relationships/footer" Target="/word/footer1.xml" Id="R627a72cf492d4f6a" /></Relationships>
</file>