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4f51922094dfd" /></Relationships>
</file>

<file path=word/document.xml><?xml version="1.0" encoding="utf-8"?>
<w:document xmlns:w="http://schemas.openxmlformats.org/wordprocessingml/2006/main">
  <w:body>
    <w:p>
      <w:r>
        <w:t>H-0413.2</w:t>
      </w:r>
    </w:p>
    <w:p>
      <w:pPr>
        <w:jc w:val="center"/>
      </w:pPr>
      <w:r>
        <w:t>_______________________________________________</w:t>
      </w:r>
    </w:p>
    <w:p/>
    <w:p>
      <w:pPr>
        <w:jc w:val="center"/>
      </w:pPr>
      <w:r>
        <w:rPr>
          <w:b/>
        </w:rPr>
        <w:t>HOUSE BILL 1295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Callan, Eslick, Ramel, Leavitt, Simmons, Springer, Fitzgibbon, Dolan, Bateman, Shewmake, J. Johnson, Senn, Sutherland, Walen, Peterson, Davis, Goodman, Hackney, Kloba, Fey, Ramos, Frame, Ryu, Macri, Bergquist, Pollet, and Stonier</w:t>
      </w:r>
    </w:p>
    <w:p/>
    <w:p>
      <w:r>
        <w:rPr>
          <w:t xml:space="preserve">Read first time 01/19/21.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public education to youth in or released from institutional education facilities; amending RCW 13.04.145; adding new sections to chapter 28A.190 RCW; adding a new section to chapter 28A.305 RCW; adding a new section to chapter 28A.300 RCW; creating new sections; repealing RCW 28A.190.015 and 28A.190.020;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in accordance with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state board of education shall examine and, to the extent practicable, resolve by rule making or other means the following issues:</w:t>
      </w:r>
    </w:p>
    <w:p>
      <w:pPr>
        <w:spacing w:before="0" w:after="0" w:line="408" w:lineRule="exact"/>
        <w:ind w:left="0" w:right="0" w:firstLine="576"/>
        <w:jc w:val="left"/>
      </w:pPr>
      <w:r>
        <w:rPr/>
        <w:t xml:space="preserve">(a) Authorizing or increasing the authority of institutional education providers to award full or partial academic credit to youth and postresident youth. In meeting the requirements of this subsection (1)(a), the state board of education shall also address barriers to:</w:t>
      </w:r>
    </w:p>
    <w:p>
      <w:pPr>
        <w:spacing w:before="0" w:after="0" w:line="408" w:lineRule="exact"/>
        <w:ind w:left="0" w:right="0" w:firstLine="576"/>
        <w:jc w:val="left"/>
      </w:pPr>
      <w:r>
        <w:rPr/>
        <w:t xml:space="preserve">(i) Awarding credit to youth and postresident youth for successfully completing language proficiency tests; and</w:t>
      </w:r>
    </w:p>
    <w:p>
      <w:pPr>
        <w:spacing w:before="0" w:after="0" w:line="408" w:lineRule="exact"/>
        <w:ind w:left="0" w:right="0" w:firstLine="576"/>
        <w:jc w:val="left"/>
      </w:pPr>
      <w:r>
        <w:rPr/>
        <w:t xml:space="preserve">(ii) Awarding core subject credit to youth and postresident youth for successfully completing all or part of a general educational development test;</w:t>
      </w:r>
    </w:p>
    <w:p>
      <w:pPr>
        <w:spacing w:before="0" w:after="0" w:line="408" w:lineRule="exact"/>
        <w:ind w:left="0" w:right="0" w:firstLine="576"/>
        <w:jc w:val="left"/>
      </w:pPr>
      <w:r>
        <w:rPr/>
        <w:t xml:space="preserve">(b) The requisite content and form of guidance from the state board of education for the awarding of credit to youth and postresident youth for mastery-based learning provided by institutional education providers;</w:t>
      </w:r>
    </w:p>
    <w:p>
      <w:pPr>
        <w:spacing w:before="0" w:after="0" w:line="408" w:lineRule="exact"/>
        <w:ind w:left="0" w:right="0" w:firstLine="576"/>
        <w:jc w:val="left"/>
      </w:pPr>
      <w:r>
        <w:rPr/>
        <w:t xml:space="preserve">(c) Credit earning requirements and practices for youth and postresident youth, with the objective of determining whether and how credit-earning requirements and practices that apply to students in foster care could be extended or otherwise replicated for youth and postresident youth; and</w:t>
      </w:r>
    </w:p>
    <w:p>
      <w:pPr>
        <w:spacing w:before="0" w:after="0" w:line="408" w:lineRule="exact"/>
        <w:ind w:left="0" w:right="0" w:firstLine="576"/>
        <w:jc w:val="left"/>
      </w:pPr>
      <w:r>
        <w:rPr/>
        <w:t xml:space="preserve">(d) Establishing new or modified requirements and practices related to educational continuity and on-time grade-level progression and graduation for youth and postresident youth. The purpose of the review required by this subsection (1)(d) is to determine how requirements and practices related to educational continuity and on-time grade-level progression and graduation that apply to students in foster care could be extended or otherwise replicated for youth and postresident youth.</w:t>
      </w:r>
    </w:p>
    <w:p>
      <w:pPr>
        <w:spacing w:before="0" w:after="0" w:line="408" w:lineRule="exact"/>
        <w:ind w:left="0" w:right="0" w:firstLine="576"/>
        <w:jc w:val="left"/>
      </w:pPr>
      <w:r>
        <w:rPr/>
        <w:t xml:space="preserve">(2) The state board of education shall adopt rules as necessary to implement this section.</w:t>
      </w:r>
    </w:p>
    <w:p>
      <w:pPr>
        <w:spacing w:before="0" w:after="0" w:line="408" w:lineRule="exact"/>
        <w:ind w:left="0" w:right="0" w:firstLine="576"/>
        <w:jc w:val="left"/>
      </w:pPr>
      <w:r>
        <w:rPr/>
        <w:t xml:space="preserve">(3) Findings and recommendations resulting from the examination required by this section, and any related rule-making actions, must be reported by November 1, 2021, to the governor and the appropriate committees of the legislature in accordance with RCW 43.01.036.</w:t>
      </w:r>
    </w:p>
    <w:p>
      <w:pPr>
        <w:spacing w:before="0" w:after="0" w:line="408" w:lineRule="exact"/>
        <w:ind w:left="0" w:right="0" w:firstLine="576"/>
        <w:jc w:val="left"/>
      </w:pPr>
      <w:r>
        <w:rPr/>
        <w:t xml:space="preserve">(4) For purposes of this section, "institutional education provider," "postresident youth," and "youth" have the same meanings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The requirement in this section is in addition to professional learning requirements under RCW 28A.150.415, 28A.415.440, and 28A.415.445.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four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Ensure compliance with federal requirements; ensure consistency between the consolidated plan and implementation actions;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Identify and recommend elements of common education, information, and support systems that would improve system efficacy and minimize the negative academic impacts of transitions;</w:t>
      </w:r>
    </w:p>
    <w:p>
      <w:pPr>
        <w:spacing w:before="0" w:after="0" w:line="408" w:lineRule="exact"/>
        <w:ind w:left="0" w:right="0" w:firstLine="576"/>
        <w:jc w:val="left"/>
      </w:pPr>
      <w:r>
        <w:rPr/>
        <w:t xml:space="preserve">(b) Expand access to education advocates for youth in: State long-term juvenile institutions; state-operated community facilities; and reentry;</w:t>
      </w:r>
    </w:p>
    <w:p>
      <w:pPr>
        <w:spacing w:before="0" w:after="0" w:line="408" w:lineRule="exact"/>
        <w:ind w:left="0" w:right="0" w:firstLine="576"/>
        <w:jc w:val="left"/>
      </w:pPr>
      <w:r>
        <w:rPr/>
        <w:t xml:space="preserve">(c) Adopt rules requiring institutional education providers to conduct an individualized education program evaluation upon the youth's assignment to an institutional education facility, and a review and assessment of needed services for each facility transition the youth experiences within the juvenile justice system; and</w:t>
      </w:r>
    </w:p>
    <w:p>
      <w:pPr>
        <w:spacing w:before="0" w:after="0" w:line="408" w:lineRule="exact"/>
        <w:ind w:left="0" w:right="0" w:firstLine="576"/>
        <w:jc w:val="left"/>
      </w:pPr>
      <w:r>
        <w:rPr/>
        <w:t xml:space="preserve">(d)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The recommendations required by this section, and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outcomes during and after residency in an institutional education facility.</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institutional education facilities to be formatted for the specific needs and circumstances of institutional settings.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8(1)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department of children, youth, and families shall jointly develop institutional education facility and institutional education provider policies, interagency agreements, or both, that:</w:t>
      </w:r>
    </w:p>
    <w:p>
      <w:pPr>
        <w:spacing w:before="0" w:after="0" w:line="408" w:lineRule="exact"/>
        <w:ind w:left="0" w:right="0" w:firstLine="576"/>
        <w:jc w:val="left"/>
      </w:pPr>
      <w:r>
        <w:rPr/>
        <w:t xml:space="preserve">(a) Establish a coordinated staffing model for institutional education facility and institutional education provider operations and effectiveness in meeting student needs, and a mechanism for developing subsequent recommendations for improvements to the model. Subsequent recommendations must be developed with the input of facility staff, educators, records coordinators, transition coordinators, and education advocates;</w:t>
      </w:r>
    </w:p>
    <w:p>
      <w:pPr>
        <w:spacing w:before="0" w:after="0" w:line="408" w:lineRule="exact"/>
        <w:ind w:left="0" w:right="0" w:firstLine="576"/>
        <w:jc w:val="left"/>
      </w:pPr>
      <w:r>
        <w:rPr/>
        <w:t xml:space="preserve">(b) Establish practices for shared data tracking and goal setting for youth progress and learning needs;</w:t>
      </w:r>
    </w:p>
    <w:p>
      <w:pPr>
        <w:spacing w:before="0" w:after="0" w:line="408" w:lineRule="exact"/>
        <w:ind w:left="0" w:right="0" w:firstLine="576"/>
        <w:jc w:val="left"/>
      </w:pPr>
      <w:r>
        <w:rPr/>
        <w:t xml:space="preserve">(c) Promote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(d) Promote the development of an operational safety strategy for safe learning environments for students and staff;</w:t>
      </w:r>
    </w:p>
    <w:p>
      <w:pPr>
        <w:spacing w:before="0" w:after="0" w:line="408" w:lineRule="exact"/>
        <w:ind w:left="0" w:right="0" w:firstLine="576"/>
        <w:jc w:val="left"/>
      </w:pPr>
      <w:r>
        <w:rPr/>
        <w:t xml:space="preserve">(e) Promote hiring practices and operations that prioritize education delivery. Policies developed and implemented in accordance with this subsection (1)(e) must be based on the foundational concept that every student can succeed if given the necessary supports;</w:t>
      </w:r>
    </w:p>
    <w:p>
      <w:pPr>
        <w:spacing w:before="0" w:after="0" w:line="408" w:lineRule="exact"/>
        <w:ind w:left="0" w:right="0" w:firstLine="576"/>
        <w:jc w:val="left"/>
      </w:pPr>
      <w:r>
        <w:rPr/>
        <w:t xml:space="preserve">(f) Maximize youth and postresident youth access to career and technical education and postsecondary education pathways that occur at institutional education facilities and at off-site locations;</w:t>
      </w:r>
    </w:p>
    <w:p>
      <w:pPr>
        <w:spacing w:before="0" w:after="0" w:line="408" w:lineRule="exact"/>
        <w:ind w:left="0" w:right="0" w:firstLine="576"/>
        <w:jc w:val="left"/>
      </w:pPr>
      <w:r>
        <w:rPr/>
        <w:t xml:space="preserve">(g) Review and evaluate requirements and procedures for the successful release of youth from institutional education facilities. The purpose of the review and evaluation required by this subsection (1)(g) is to improve youth reentry practices by developing an effective team-based transition process with identified preresident and postresident transition services and support, including, but not limited to, basic needs, social-emotional support, and academic support;</w:t>
      </w:r>
    </w:p>
    <w:p>
      <w:pPr>
        <w:spacing w:before="0" w:after="0" w:line="408" w:lineRule="exact"/>
        <w:ind w:left="0" w:right="0" w:firstLine="576"/>
        <w:jc w:val="left"/>
      </w:pPr>
      <w:r>
        <w:rPr/>
        <w:t xml:space="preserve">(h) Establish and support youth advisory, leadership, and mentoring programs to ensure pathways for youth and postresident youth involvement and development;</w:t>
      </w:r>
    </w:p>
    <w:p>
      <w:pPr>
        <w:spacing w:before="0" w:after="0" w:line="408" w:lineRule="exact"/>
        <w:ind w:left="0" w:right="0" w:firstLine="576"/>
        <w:jc w:val="left"/>
      </w:pPr>
      <w:r>
        <w:rPr/>
        <w:t xml:space="preserve">(i) Identify and establish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(j) Examine and expand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(k) Develop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(2) In meeting the requirements of this section, the office of the superintendent of public instruction and the department of children, youth, and families must seek input from youth, postresident youth, and families of those youth.</w:t>
      </w:r>
    </w:p>
    <w:p>
      <w:pPr>
        <w:spacing w:before="0" w:after="0" w:line="408" w:lineRule="exact"/>
        <w:ind w:left="0" w:right="0" w:firstLine="576"/>
        <w:jc w:val="left"/>
      </w:pPr>
      <w:r>
        <w:rPr/>
        <w:t xml:space="preserve">(3) The office of the superintendent of public instruction and the department of children, youth, and families shall, by November 1, 2021, and in accordance with RCW 43.01.036, provide a report on the implementation of this section to the governor and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institutional education accountability work group is established, with members as provided in this subsection.</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The secretary of the department of children, youth, and families, or the secretary's designee; and</w:t>
      </w:r>
    </w:p>
    <w:p>
      <w:pPr>
        <w:spacing w:before="0" w:after="0" w:line="408" w:lineRule="exact"/>
        <w:ind w:left="0" w:right="0" w:firstLine="576"/>
        <w:jc w:val="left"/>
      </w:pPr>
      <w:r>
        <w:rPr/>
        <w:t xml:space="preserve">(c) Other members considered necessary by both the superintendent of public instruction and the secretary of the department of children, youth, and families, or their designees.</w:t>
      </w:r>
    </w:p>
    <w:p>
      <w:pPr>
        <w:spacing w:before="0" w:after="0" w:line="408" w:lineRule="exact"/>
        <w:ind w:left="0" w:right="0" w:firstLine="576"/>
        <w:jc w:val="left"/>
      </w:pPr>
      <w:r>
        <w:rPr/>
        <w:t xml:space="preserve">(2) The work group, in collaboration with legislators and stakeholders, shall examine and make recommendations on:</w:t>
      </w:r>
    </w:p>
    <w:p>
      <w:pPr>
        <w:spacing w:before="0" w:after="0" w:line="408" w:lineRule="exact"/>
        <w:ind w:left="0" w:right="0" w:firstLine="576"/>
        <w:jc w:val="left"/>
      </w:pPr>
      <w:r>
        <w:rPr/>
        <w:t xml:space="preserve">(a) The establishment of an organizational and accountability structure for institutional education that is focused on meeting complex student needs and improving student outcomes; and</w:t>
      </w:r>
    </w:p>
    <w:p>
      <w:pPr>
        <w:spacing w:before="0" w:after="0" w:line="408" w:lineRule="exact"/>
        <w:ind w:left="0" w:right="0" w:firstLine="576"/>
        <w:jc w:val="left"/>
      </w:pPr>
      <w:r>
        <w:rPr/>
        <w:t xml:space="preserve">(b) The establishment of an equitable, long-term funding model for institutional education.</w:t>
      </w:r>
    </w:p>
    <w:p>
      <w:pPr>
        <w:spacing w:before="0" w:after="0" w:line="408" w:lineRule="exact"/>
        <w:ind w:left="0" w:right="0" w:firstLine="576"/>
        <w:jc w:val="left"/>
      </w:pPr>
      <w:r>
        <w:rPr/>
        <w:t xml:space="preserve">(3) Staff support for the work group must be provided jointly by the office of the superintendent of public instruction and the department of children, youth, and families.</w:t>
      </w:r>
    </w:p>
    <w:p>
      <w:pPr>
        <w:spacing w:before="0" w:after="0" w:line="408" w:lineRule="exact"/>
        <w:ind w:left="0" w:right="0" w:firstLine="576"/>
        <w:jc w:val="left"/>
      </w:pPr>
      <w:r>
        <w:rPr/>
        <w:t xml:space="preserve">(4) The work group, in accordance with RCW 43.01.036, shall provide an interim report to the governor and appropriate committees of the house of representatives and the senate by December 1, 2021, and a final report to the same recipients by December 1, 2022.</w:t>
      </w:r>
    </w:p>
    <w:p>
      <w:pPr>
        <w:spacing w:before="0" w:after="0" w:line="408" w:lineRule="exact"/>
        <w:ind w:left="0" w:right="0" w:firstLine="576"/>
        <w:jc w:val="left"/>
      </w:pPr>
      <w:r>
        <w:rPr/>
        <w:t xml:space="preserve">(5)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
      <w:pPr>
        <w:jc w:val="center"/>
      </w:pPr>
      <w:r>
        <w:rPr>
          <w:b/>
        </w:rPr>
        <w:t>--- END ---</w:t>
      </w:r>
    </w:p>
    <w:sectPr>
      <w:pgNumType w:start="1"/>
      <w:footerReference xmlns:r="http://schemas.openxmlformats.org/officeDocument/2006/relationships" r:id="R00fa2a07a4274e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33171446c4996" /><Relationship Type="http://schemas.openxmlformats.org/officeDocument/2006/relationships/footer" Target="/word/footer1.xml" Id="R00fa2a07a4274e9b" /></Relationships>
</file>