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907d6f02e4703" /></Relationships>
</file>

<file path=word/document.xml><?xml version="1.0" encoding="utf-8"?>
<w:document xmlns:w="http://schemas.openxmlformats.org/wordprocessingml/2006/main">
  <w:body>
    <w:p>
      <w:r>
        <w:t>H-0959.1</w:t>
      </w:r>
    </w:p>
    <w:p>
      <w:pPr>
        <w:jc w:val="center"/>
      </w:pPr>
      <w:r>
        <w:t>_______________________________________________</w:t>
      </w:r>
    </w:p>
    <w:p/>
    <w:p>
      <w:pPr>
        <w:jc w:val="center"/>
      </w:pPr>
      <w:r>
        <w:rPr>
          <w:b/>
        </w:rPr>
        <w:t>SUBSTITUTE HOUSE BILL 1302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Berg, Ybarra, J. Johnson, Sutherland, Eslick, Morgan, Bergquist, Paul,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in the high school programs; amending RCW 28A.600.290, 28A.300.560, 28A.320.196, 28B.10.035, 28B.76.730, and 28B.95.020;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 and</w:t>
      </w:r>
      <w:r>
        <w:rPr/>
        <w:t xml:space="preserve"> students who have not yet received a high school diploma or its equivalent and are eligible to be in the eleventh or twelfth grade</w:t>
      </w:r>
      <w:r>
        <w:rPr>
          <w:u w:val="single"/>
        </w:rPr>
        <w:t xml:space="preserve">,</w:t>
      </w:r>
      <w:r>
        <w:rPr/>
        <w:t xml:space="preserve"> who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t xml:space="preserve"> </w:t>
      </w:r>
      <w:r>
        <w:rPr>
          <w:u w:val="single"/>
        </w:rPr>
        <w:t xml:space="preserve">and</w:t>
      </w:r>
      <w:r>
        <w:rPr/>
        <w:t xml:space="preserve"> students who have not yet received a high school diploma or its equivalent and are eligible to be in the eleventh or twelfth grade</w:t>
      </w:r>
      <w:r>
        <w:rPr>
          <w:u w:val="single"/>
        </w:rPr>
        <w:t xml:space="preserve">,</w:t>
      </w:r>
      <w:r>
        <w:rPr/>
        <w:t xml:space="preserve"> who have been deemed eligible for free or reduced-price lunch and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t>((</w:t>
      </w: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strike/>
        </w:rPr>
        <w:t xml:space="preserve">(3) College in the high school programs may include both academic and career and technical education.</w:t>
      </w:r>
    </w:p>
    <w:p>
      <w:pPr>
        <w:spacing w:before="0" w:after="0" w:line="408" w:lineRule="exact"/>
        <w:ind w:left="0" w:right="0" w:firstLine="576"/>
        <w:jc w:val="left"/>
      </w:pPr>
      <w:r>
        <w:rPr>
          <w:strike/>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strike/>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strike/>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strike/>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strike/>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tech prep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035</w:t>
      </w:r>
      <w:r>
        <w:rPr/>
        <w:t xml:space="preserve"> and 2019 c 272 s 1 are each amended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w:t>
      </w:r>
      <w:r>
        <w:t>((</w:t>
      </w:r>
      <w:r>
        <w:rPr>
          <w:strike/>
        </w:rPr>
        <w:t xml:space="preserve">under RCW 28A.600.290</w:t>
      </w:r>
      <w:r>
        <w:t>))</w:t>
      </w:r>
      <w:r>
        <w:rPr/>
        <w:t xml:space="preserve">,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w:t>
      </w:r>
      <w:r>
        <w:t>((</w:t>
      </w:r>
      <w:r>
        <w:rPr>
          <w:strike/>
        </w:rPr>
        <w:t xml:space="preserve">under RCW 28A.600.290</w:t>
      </w:r>
      <w:r>
        <w:t>))</w:t>
      </w:r>
      <w:r>
        <w:rPr/>
        <w:t xml:space="preserve">,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w:t>
      </w:r>
      <w:r>
        <w:t>((</w:t>
      </w:r>
      <w:r>
        <w:rPr>
          <w:strike/>
        </w:rPr>
        <w:t xml:space="preserve">under RCW 28A.600.290</w:t>
      </w:r>
      <w:r>
        <w:t>))</w:t>
      </w:r>
      <w:r>
        <w:rPr/>
        <w:t xml:space="preserve">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w:t>
      </w:r>
      <w:r>
        <w:t>((</w:t>
      </w:r>
      <w:r>
        <w:rPr>
          <w:strike/>
        </w:rPr>
        <w:t xml:space="preserve">under RCW 28A.600.290</w:t>
      </w:r>
      <w:r>
        <w:t>))</w:t>
      </w:r>
      <w:r>
        <w:rPr/>
        <w:t xml:space="preserve">,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w:t>
      </w:r>
      <w:r>
        <w:t>((</w:t>
      </w:r>
      <w:r>
        <w:rPr>
          <w:strike/>
        </w:rPr>
        <w:t xml:space="preserve">under RCW 28A.600.290</w:t>
      </w:r>
      <w:r>
        <w:t>))</w:t>
      </w:r>
      <w:r>
        <w:rPr/>
        <w:t xml:space="preserve">.</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"College in the high school program" is a program that meets the requirements of section 1 of this act.</w:t>
      </w:r>
    </w:p>
    <w:p>
      <w:pPr>
        <w:spacing w:before="0" w:after="0" w:line="408" w:lineRule="exact"/>
        <w:ind w:left="0" w:right="0" w:firstLine="576"/>
        <w:jc w:val="left"/>
      </w:pPr>
      <w:r>
        <w:rPr>
          <w:u w:val="single"/>
        </w:rPr>
        <w:t xml:space="preserve">(b)</w:t>
      </w:r>
      <w:r>
        <w:rPr/>
        <w:t xml:space="preserve">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high school" means a high school that is a public school as defined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2020 c 259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rPr/>
        <w:t xml:space="preserve">(iv)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rPr/>
        <w:t xml:space="preserve">(b) An eligible student enrolled in a college in the high school program may receive a scholarship for tuition fees as set forth under </w:t>
      </w:r>
      <w:r>
        <w:t>((</w:t>
      </w:r>
      <w:r>
        <w:rPr>
          <w:strike/>
        </w:rPr>
        <w:t xml:space="preserve">RCW 28A.600.290(5)(a)</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2018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28B.95.085.</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and (8).</w:t>
      </w:r>
    </w:p>
    <w:p>
      <w:pPr>
        <w:spacing w:before="0" w:after="0" w:line="408" w:lineRule="exact"/>
        <w:ind w:left="0" w:right="0" w:firstLine="576"/>
        <w:jc w:val="left"/>
      </w:pPr>
      <w:r>
        <w:rPr/>
        <w:t xml:space="preserve">(7) "Dual credit fees" means any fees charged to a student for participation in college in the high school under </w:t>
      </w:r>
      <w:r>
        <w:t>((</w:t>
      </w:r>
      <w:r>
        <w:rPr>
          <w:strike/>
        </w:rPr>
        <w:t xml:space="preserve">RCW 28A.600.290</w:t>
      </w:r>
      <w:r>
        <w:t>))</w:t>
      </w:r>
      <w:r>
        <w:rPr/>
        <w:t xml:space="preserve"> </w:t>
      </w:r>
      <w:r>
        <w:rPr>
          <w:u w:val="single"/>
        </w:rPr>
        <w:t xml:space="preserve">section 1 of this act</w:t>
      </w:r>
      <w:r>
        <w:rPr/>
        <w:t xml:space="preserve">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and (8).</w:t>
      </w:r>
    </w:p>
    <w:p>
      <w:pPr>
        <w:spacing w:before="0" w:after="0" w:line="408" w:lineRule="exact"/>
        <w:ind w:left="0" w:right="0" w:firstLine="576"/>
        <w:jc w:val="left"/>
      </w:pPr>
      <w:r>
        <w:rPr/>
        <w:t xml:space="preserve">(23) "Unit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t xml:space="preserve">(24)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
      <w:pPr>
        <w:jc w:val="center"/>
      </w:pPr>
      <w:r>
        <w:rPr>
          <w:b/>
        </w:rPr>
        <w:t>--- END ---</w:t>
      </w:r>
    </w:p>
    <w:sectPr>
      <w:pgNumType w:start="1"/>
      <w:footerReference xmlns:r="http://schemas.openxmlformats.org/officeDocument/2006/relationships" r:id="Re6cf16c9dd4a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42b45d4fa4ecd" /><Relationship Type="http://schemas.openxmlformats.org/officeDocument/2006/relationships/footer" Target="/word/footer1.xml" Id="Re6cf16c9dd4a44e3" /></Relationships>
</file>