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ee420f7c249fd" /></Relationships>
</file>

<file path=word/document.xml><?xml version="1.0" encoding="utf-8"?>
<w:document xmlns:w="http://schemas.openxmlformats.org/wordprocessingml/2006/main">
  <w:body>
    <w:p>
      <w:r>
        <w:t>H-0414.1</w:t>
      </w:r>
    </w:p>
    <w:p>
      <w:pPr>
        <w:jc w:val="center"/>
      </w:pPr>
      <w:r>
        <w:t>_______________________________________________</w:t>
      </w:r>
    </w:p>
    <w:p/>
    <w:p>
      <w:pPr>
        <w:jc w:val="center"/>
      </w:pPr>
      <w:r>
        <w:rPr>
          <w:b/>
        </w:rPr>
        <w:t>HOUSE BILL 1333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Steele, Hackney, and Lekanoff</w:t>
      </w:r>
    </w:p>
    <w:p/>
    <w:p>
      <w:r>
        <w:rPr>
          <w:t xml:space="preserve">Read first time 01/20/21.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extension to the local sales and use tax for public facilities in rural counties;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w:t>
      </w:r>
      <w:r>
        <w:t>((</w:t>
      </w:r>
      <w:r>
        <w:rPr>
          <w:strike/>
        </w:rPr>
        <w:t xml:space="preserve">the date that is twenty-five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038bf895652241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26b80563c463e" /><Relationship Type="http://schemas.openxmlformats.org/officeDocument/2006/relationships/footer" Target="/word/footer1.xml" Id="R038bf895652241b3" /></Relationships>
</file>