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fda25bac4496e" /></Relationships>
</file>

<file path=word/document.xml><?xml version="1.0" encoding="utf-8"?>
<w:document xmlns:w="http://schemas.openxmlformats.org/wordprocessingml/2006/main">
  <w:body>
    <w:p>
      <w:r>
        <w:t>H-0826.1</w:t>
      </w:r>
    </w:p>
    <w:p>
      <w:pPr>
        <w:jc w:val="center"/>
      </w:pPr>
      <w:r>
        <w:t>_______________________________________________</w:t>
      </w:r>
    </w:p>
    <w:p/>
    <w:p>
      <w:pPr>
        <w:jc w:val="center"/>
      </w:pPr>
      <w:r>
        <w:rPr>
          <w:b/>
        </w:rPr>
        <w:t>SUBSTITUTE HOUSE BILL 1355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Dent, Chandler, Boehnke, Lovick, Dye, Fitzgibbon, Klippert, Jacobsen, and Schmick)</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17.10.890, 17.04.240, 79.44.003, and 17.04.180.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w:t>
      </w:r>
      <w:r>
        <w:rPr/>
        <w:t xml:space="preserve">.</w:t>
      </w:r>
    </w:p>
    <w:p>
      <w:pPr>
        <w:spacing w:before="0" w:after="0" w:line="408" w:lineRule="exact"/>
        <w:ind w:left="0" w:right="0" w:firstLine="576"/>
        <w:jc w:val="left"/>
      </w:pPr>
      <w:r>
        <w:rPr>
          <w:u w:val="single"/>
        </w:rPr>
        <w:t xml:space="preserve">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p>
    <w:p>
      <w:pPr>
        <w:spacing w:before="0" w:after="0" w:line="408" w:lineRule="exact"/>
        <w:ind w:left="0" w:right="0" w:firstLine="576"/>
        <w:jc w:val="left"/>
      </w:pPr>
      <w:r>
        <w:rPr/>
        <w:t xml:space="preserve">Funding for the budget is derived from any or all of the following: (a) The county legislative authority may, in lieu of a tax, levy an assessment against the land for this purpose. </w:t>
      </w:r>
      <w:r>
        <w:rPr>
          <w:u w:val="single"/>
        </w:rPr>
        <w:t xml:space="preserve">Whenever there is included within the jurisdiction of any weed control board lands owned or held by the state, the county legislative authority shall determine the amount of the assessment for which the land would be liable if the land were in private ownership. Assessments on lands owned or held by the state must be presented to the appropriate state agency and must be paid by the appropriate state agency, according to the process set forth in chapter 79.44 RCW.</w:t>
      </w:r>
    </w:p>
    <w:p>
      <w:pPr>
        <w:spacing w:before="0" w:after="0" w:line="408" w:lineRule="exact"/>
        <w:ind w:left="0" w:right="0" w:firstLine="576"/>
        <w:jc w:val="left"/>
      </w:pPr>
      <w:r>
        <w:rPr/>
        <w:t xml:space="preserve">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rPr/>
        <w:t xml:space="preserve">(b)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
      <w:pPr>
        <w:jc w:val="center"/>
      </w:pPr>
      <w:r>
        <w:rPr>
          <w:b/>
        </w:rPr>
        <w:t>--- END ---</w:t>
      </w:r>
    </w:p>
    <w:sectPr>
      <w:pgNumType w:start="1"/>
      <w:footerReference xmlns:r="http://schemas.openxmlformats.org/officeDocument/2006/relationships" r:id="R85e8340d0d8944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e92f307d64141" /><Relationship Type="http://schemas.openxmlformats.org/officeDocument/2006/relationships/footer" Target="/word/footer1.xml" Id="R85e8340d0d8944d0" /></Relationships>
</file>