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fd1162141e4a1d" /></Relationships>
</file>

<file path=word/document.xml><?xml version="1.0" encoding="utf-8"?>
<w:document xmlns:w="http://schemas.openxmlformats.org/wordprocessingml/2006/main">
  <w:body>
    <w:p>
      <w:r>
        <w:t>H-1105.1</w:t>
      </w:r>
    </w:p>
    <w:p>
      <w:pPr>
        <w:jc w:val="center"/>
      </w:pPr>
      <w:r>
        <w:t>_______________________________________________</w:t>
      </w:r>
    </w:p>
    <w:p/>
    <w:p>
      <w:pPr>
        <w:jc w:val="center"/>
      </w:pPr>
      <w:r>
        <w:rPr>
          <w:b/>
        </w:rPr>
        <w:t>SECOND SUBSTITUTE HOUSE BILL 1382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Tharinger, Dolan, Fitzgibbon, Wylie, Hackney, and Callan)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environmental permitting process for salmon recovery projects; adding a new section to chapter 77.55 RCW; adding a new section go chapter 43.21C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particularly in times of economic hardship, it is in the interest of the citizens and natural resources of the state to promote and implement habitat restoration projects that have been determined to contribute to the recovery of watersheds throughout the state. The legislature further finds that habitat recovery projects that contribute to the recovery of orca, salmon, steelhead, bull trout, rock fish, and other fish species and habitat they rely on are particularly valuable. It is the legislature's intent that these projects advance to construction as quickly and efficiently as possible, thereby creating jobs and further bolstering the natural resources and natural resource economy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an Indian tribe; and</w:t>
      </w:r>
    </w:p>
    <w:p>
      <w:pPr>
        <w:spacing w:before="0" w:after="0" w:line="408" w:lineRule="exact"/>
        <w:ind w:left="0" w:right="0" w:firstLine="576"/>
        <w:jc w:val="left"/>
      </w:pPr>
      <w:r>
        <w:rPr/>
        <w:t xml:space="preserve">(xiii) Fish acclimation facility projects sponsored or operated by an Indian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before the project applicant files an application under this section.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 and to affected Indian tribes, no fewer than 60 days before the application may be filed with the department.</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Indian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Indian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Indian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Indian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Indian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Indian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Indian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Indian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For the purposes of this section, "Indian tribe" has the same meaning as defined in RCW 43.376.010.</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that receives a permit pursuant to section 2 of this act is not subject to the requirements of RCW 43.21C.030(2).</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a93755f39a8e4d8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759669c264451a" /><Relationship Type="http://schemas.openxmlformats.org/officeDocument/2006/relationships/footer" Target="/word/footer1.xml" Id="Ra93755f39a8e4d82" /></Relationships>
</file>