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ef071eb8b4937" /></Relationships>
</file>

<file path=word/document.xml><?xml version="1.0" encoding="utf-8"?>
<w:document xmlns:w="http://schemas.openxmlformats.org/wordprocessingml/2006/main">
  <w:body>
    <w:p>
      <w:r>
        <w:t>H-0225.3</w:t>
      </w:r>
    </w:p>
    <w:p>
      <w:pPr>
        <w:jc w:val="center"/>
      </w:pPr>
      <w:r>
        <w:t>_______________________________________________</w:t>
      </w:r>
    </w:p>
    <w:p/>
    <w:p>
      <w:pPr>
        <w:jc w:val="center"/>
      </w:pPr>
      <w:r>
        <w:rPr>
          <w:b/>
        </w:rPr>
        <w:t>HOUSE BILL 1399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Kirby, Jacobsen, Simmons, Dufault, Dolan, and Young</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criminal convictions;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other than the fee for the preliminary application under subsection (7) of this section.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and a fee if required under subsection (7)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six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may charge a fee not to exceed $100 for each preliminary application filed pursuant to this section. The fee is intended to offset the administrative costs incurred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b17fde42dbe48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8889bf14d40b5" /><Relationship Type="http://schemas.openxmlformats.org/officeDocument/2006/relationships/footer" Target="/word/footer1.xml" Id="Rfb17fde42dbe4850" /></Relationships>
</file>