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096a53f47d485f" /></Relationships>
</file>

<file path=word/document.xml><?xml version="1.0" encoding="utf-8"?>
<w:document xmlns:w="http://schemas.openxmlformats.org/wordprocessingml/2006/main">
  <w:body>
    <w:p>
      <w:r>
        <w:t>H-0966.1</w:t>
      </w:r>
    </w:p>
    <w:p>
      <w:pPr>
        <w:jc w:val="center"/>
      </w:pPr>
      <w:r>
        <w:t>_______________________________________________</w:t>
      </w:r>
    </w:p>
    <w:p/>
    <w:p>
      <w:pPr>
        <w:jc w:val="center"/>
      </w:pPr>
      <w:r>
        <w:rPr>
          <w:b/>
        </w:rPr>
        <w:t>SUBSTITUTE HOUSE BILL 1446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 Fey)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a utility from being assessed a penalty for not meeting its biennial acquisition target for cost-effective conservation in special circumstances outside the utility's control; and amending RCW 19.285.040 and 19.285.060.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2019 c 288 s 29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w:t>
      </w:r>
      <w:r>
        <w:rPr>
          <w:u w:val="single"/>
        </w:rPr>
        <w:t xml:space="preserve">A qualifying utility is considered in compliance with its biennial acquisition target for cost-effective conservation in (b) of this subsection if events beyond the reasonable control of the utility that could not have been reasonably anticipated or ameliorated prevented it from meeting the conservation target. Events that a qualifying utility may demonstrate were beyond its reasonable control, that could not have reasonably been anticipated or ameliorated, and that prevented it from meeting the conservation target include: (i) Natural disasters resulting in the issuance of extended emergency declarations; (ii) the cancellation of significant conservation projects; and (iii) actions of a governmental authority that adversely affects the acquisition of cost-effective conservation by the qualifying utility.</w:t>
      </w:r>
    </w:p>
    <w:p>
      <w:pPr>
        <w:spacing w:before="0" w:after="0" w:line="408" w:lineRule="exact"/>
        <w:ind w:left="0" w:right="0" w:firstLine="576"/>
        <w:jc w:val="left"/>
      </w:pPr>
      <w:r>
        <w:rPr>
          <w:u w:val="single"/>
        </w:rPr>
        <w:t xml:space="preserve">(f)</w:t>
      </w:r>
      <w:r>
        <w:rPr/>
        <w:t xml:space="preserv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A qualifying utility may use renewable energy credits to meet the requirements of this section, subject to the limitations of this subsection.</w:t>
      </w:r>
    </w:p>
    <w:p>
      <w:pPr>
        <w:spacing w:before="0" w:after="0" w:line="408" w:lineRule="exact"/>
        <w:ind w:left="0" w:right="0" w:firstLine="576"/>
        <w:jc w:val="left"/>
      </w:pPr>
      <w:r>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t xml:space="preserve">(ii) A renewable energy credit from electricity generated by freshwater:</w:t>
      </w:r>
    </w:p>
    <w:p>
      <w:pPr>
        <w:spacing w:before="0" w:after="0" w:line="408" w:lineRule="exact"/>
        <w:ind w:left="0" w:right="0" w:firstLine="576"/>
        <w:jc w:val="left"/>
      </w:pPr>
      <w:r>
        <w:rPr/>
        <w:t xml:space="preserve">(A) May only be used to meet a requirement applicable to the year in which the credit was created; and</w:t>
      </w:r>
    </w:p>
    <w:p>
      <w:pPr>
        <w:spacing w:before="0" w:after="0" w:line="408" w:lineRule="exact"/>
        <w:ind w:left="0" w:right="0" w:firstLine="576"/>
        <w:jc w:val="left"/>
      </w:pPr>
      <w:r>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t xml:space="preserve">(iv) Each renewable energy credit may only be used once to meet the requirements of this section and must be retired using procedures of the renewable energy credit tracking system.</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RCW 19.405.020,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060</w:t>
      </w:r>
      <w:r>
        <w:rPr/>
        <w:t xml:space="preserve"> and 2015 c 225 s 22 are each amended to read as follows:</w:t>
      </w:r>
    </w:p>
    <w:p>
      <w:pPr>
        <w:spacing w:before="0" w:after="0" w:line="408" w:lineRule="exact"/>
        <w:ind w:left="0" w:right="0" w:firstLine="576"/>
        <w:jc w:val="left"/>
      </w:pPr>
      <w:r>
        <w:rPr/>
        <w:t xml:space="preserve">(1) Except as provided in subsection (2) of this section, a qualifying utility that fails to comply with the energy conservation or renewable energy targets established in RCW 19.285.040 shall pay an administrative penalty to the state of Washington in the amount of fifty dollars for each megawatt-hour of shortfall. Beginning in 2007, this penalty shall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t xml:space="preserve">(2) A qualifying utility that does not meet an annual renewable energy target established in RCW 19.285.040(2) </w:t>
      </w:r>
      <w:r>
        <w:rPr>
          <w:u w:val="single"/>
        </w:rPr>
        <w:t xml:space="preserve">or biennial acquisition target for cost-effective conservation in RCW 19.285.040(1)</w:t>
      </w:r>
      <w:r>
        <w:rPr/>
        <w:t xml:space="preserve"> is exempt from the administrative penalty in subsection (1) of this section for that year if the commission for investor-owned utilities or the auditor for all other qualifying utilities determines that the utility complied with RCW 19.285.040 </w:t>
      </w:r>
      <w:r>
        <w:rPr>
          <w:u w:val="single"/>
        </w:rPr>
        <w:t xml:space="preserve">(1)(e) or</w:t>
      </w:r>
      <w:r>
        <w:rPr/>
        <w:t xml:space="preserve"> (2) (d) or (i) or 19.285.050(1).</w:t>
      </w:r>
    </w:p>
    <w:p>
      <w:pPr>
        <w:spacing w:before="0" w:after="0" w:line="408" w:lineRule="exact"/>
        <w:ind w:left="0" w:right="0" w:firstLine="576"/>
        <w:jc w:val="left"/>
      </w:pPr>
      <w:r>
        <w:rPr/>
        <w:t xml:space="preserve">(3) A qualifying utility must notify its retail electric customers in published form within three months of incurring a penalty regarding the size of the penalty and the reason it was incurred.</w:t>
      </w:r>
    </w:p>
    <w:p>
      <w:pPr>
        <w:spacing w:before="0" w:after="0" w:line="408" w:lineRule="exact"/>
        <w:ind w:left="0" w:right="0" w:firstLine="576"/>
        <w:jc w:val="left"/>
      </w:pPr>
      <w:r>
        <w:rPr/>
        <w:t xml:space="preserve">(4) The commission shall determine if an investor-owned utility may recover the cost of this administrative penalty in electric rates, and may consider providing positive incentives for an investor-owned utility to exceed the targets established in RCW 19.285.040.</w:t>
      </w:r>
    </w:p>
    <w:p>
      <w:pPr>
        <w:spacing w:before="0" w:after="0" w:line="408" w:lineRule="exact"/>
        <w:ind w:left="0" w:right="0" w:firstLine="576"/>
        <w:jc w:val="left"/>
      </w:pPr>
      <w:r>
        <w:rPr/>
        <w:t xml:space="preserve">(5) Administrative penalties collected under this chapter shall be deposited into the energy independence act special account which is hereby created. All receipts from administrative penalties collected under this chapter must be deposited into the account. Expenditures from the account may be used only for the purchase of renewable energy credits or for energy conservation projects at public facilities, local government facilities, community colleges, or state universities. The state shall own and retire any renewable energy credits purchased using moneys from the account. Only the director of enterprise services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(6) For a qualifying utility that is an investor-owned utility, the commission shall determine compliance with the provisions of this chapter and assess penalties for noncompliance as provided in subsection (1) of this section.</w:t>
      </w:r>
    </w:p>
    <w:p>
      <w:pPr>
        <w:spacing w:before="0" w:after="0" w:line="408" w:lineRule="exact"/>
        <w:ind w:left="0" w:right="0" w:firstLine="576"/>
        <w:jc w:val="left"/>
      </w:pPr>
      <w:r>
        <w:rPr/>
        <w:t xml:space="preserve">(7) For qualifying utilities that are not investor-owned utilities, the auditor is responsible for auditing compliance with this chapter and rules adopted under this chapter that apply to those utilities and the attorney general is responsible for enforcing that compliance.</w:t>
      </w:r>
    </w:p>
    <w:p/>
    <w:p>
      <w:pPr>
        <w:jc w:val="center"/>
      </w:pPr>
      <w:r>
        <w:rPr>
          <w:b/>
        </w:rPr>
        <w:t>--- END ---</w:t>
      </w:r>
    </w:p>
    <w:sectPr>
      <w:pgNumType w:start="1"/>
      <w:footerReference xmlns:r="http://schemas.openxmlformats.org/officeDocument/2006/relationships" r:id="Re6104bc8daf84a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af4a07bd7c4cf3" /><Relationship Type="http://schemas.openxmlformats.org/officeDocument/2006/relationships/footer" Target="/word/footer1.xml" Id="Re6104bc8daf84a3c" /></Relationships>
</file>