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bc0bc7406429e" /></Relationships>
</file>

<file path=word/document.xml><?xml version="1.0" encoding="utf-8"?>
<w:document xmlns:w="http://schemas.openxmlformats.org/wordprocessingml/2006/main">
  <w:body>
    <w:p>
      <w:r>
        <w:t>H-0748.1</w:t>
      </w:r>
    </w:p>
    <w:p>
      <w:pPr>
        <w:jc w:val="center"/>
      </w:pPr>
      <w:r>
        <w:t>_______________________________________________</w:t>
      </w:r>
    </w:p>
    <w:p/>
    <w:p>
      <w:pPr>
        <w:jc w:val="center"/>
      </w:pPr>
      <w:r>
        <w:rPr>
          <w:b/>
        </w:rPr>
        <w:t>HOUSE BILL 1486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Bronoske, Wicks, Fitzgibbon, Lovick, Shewmake, Lekanoff, Senn, Peterson, Sells, Ramel, Callan, Valdez, Ormsby, Chopp, Harris-Talley, Berg, and Pollet</w:t>
      </w:r>
    </w:p>
    <w:p/>
    <w:p>
      <w:r>
        <w:rPr>
          <w:t xml:space="preserve">Read first time 02/04/21.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50.20.010, 50.20.100, and 50.29.021; reenacting and amending RCW 50.20.050;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 Notwithstanding the requirements of subsections (1) and (2) of this section, individuals with caregiving responsibilities may restrict their hours or days of availability if they show that there is no other person to provide the care within their means, and that there is still a substantial market of employment open to them after the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July 3, 2022</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July 3, 2022</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w:t>
      </w:r>
      <w:r>
        <w:t>((</w:t>
      </w:r>
      <w:r>
        <w:rPr>
          <w:strike/>
        </w:rPr>
        <w:t xml:space="preserve">member of the claimant's immediate family if</w:t>
      </w:r>
      <w:r>
        <w:t>))</w:t>
      </w:r>
      <w:r>
        <w:rPr/>
        <w:t xml:space="preserve"> </w:t>
      </w:r>
      <w:r>
        <w:rPr>
          <w:u w:val="single"/>
        </w:rPr>
        <w:t xml:space="preserve">family member, or because care for a child or a vulnerable adult in the claimant's care is inaccessible, so long as</w:t>
      </w:r>
      <w:r>
        <w:rPr/>
        <w:t xml:space="preserve">:</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w:t>
      </w:r>
    </w:p>
    <w:p>
      <w:pPr>
        <w:spacing w:before="0" w:after="0" w:line="408" w:lineRule="exact"/>
        <w:ind w:left="0" w:right="0" w:firstLine="576"/>
        <w:jc w:val="left"/>
      </w:pPr>
      <w:r>
        <w:rPr>
          <w:u w:val="single"/>
        </w:rPr>
        <w:t xml:space="preserve">(xii) The claimant's usual work shifts were altered so as to make care for a child or vulnerable adult in the claimant's care inaccessible; or</w:t>
      </w:r>
    </w:p>
    <w:p>
      <w:pPr>
        <w:spacing w:before="0" w:after="0" w:line="408" w:lineRule="exact"/>
        <w:ind w:left="0" w:right="0" w:firstLine="576"/>
        <w:jc w:val="left"/>
      </w:pPr>
      <w:r>
        <w:rPr>
          <w:u w:val="single"/>
        </w:rPr>
        <w:t xml:space="preserve">(xiii) The claimant left work to relocate outside the existing labor market because of the geographical location of, proximity to, or the separation from a minor child</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the individual's physical fitness, the individual's length of unemployment and prospects for securing local work in the individual's customary occupation, the distance of the available work from the individual's residence, </w:t>
      </w:r>
      <w:r>
        <w:rPr>
          <w:u w:val="single"/>
        </w:rPr>
        <w:t xml:space="preserve">the individual's responsibilities to provide care for a child or vulnerable adult in the individual's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RCW 50.20.050(2)(b)(xii)</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w:t>
      </w:r>
      <w:r>
        <w:t>((</w:t>
      </w:r>
      <w:r>
        <w:rPr>
          <w:strike/>
        </w:rPr>
        <w:t xml:space="preserve">Twenty</w:t>
      </w:r>
      <w:r>
        <w:t>))</w:t>
      </w:r>
      <w:r>
        <w:rPr/>
        <w:t xml:space="preserve"> </w:t>
      </w:r>
      <w:r>
        <w:rPr>
          <w:u w:val="single"/>
        </w:rPr>
        <w:t xml:space="preserve">20</w:t>
      </w:r>
      <w:r>
        <w:rPr/>
        <w:t xml:space="preserve">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c0e391a9bbbd4d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2f1f99aff4f31" /><Relationship Type="http://schemas.openxmlformats.org/officeDocument/2006/relationships/footer" Target="/word/footer1.xml" Id="Rc0e391a9bbbd4d71" /></Relationships>
</file>