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f404035cb4e2f" /></Relationships>
</file>

<file path=word/document.xml><?xml version="1.0" encoding="utf-8"?>
<w:document xmlns:w="http://schemas.openxmlformats.org/wordprocessingml/2006/main">
  <w:body>
    <w:p>
      <w:r>
        <w:t>H-1129.2</w:t>
      </w:r>
    </w:p>
    <w:p>
      <w:pPr>
        <w:jc w:val="center"/>
      </w:pPr>
      <w:r>
        <w:t>_______________________________________________</w:t>
      </w:r>
    </w:p>
    <w:p/>
    <w:p>
      <w:pPr>
        <w:jc w:val="center"/>
      </w:pPr>
      <w:r>
        <w:rPr>
          <w:b/>
        </w:rPr>
        <w:t>HOUSE BILL 1550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Cody, Callan, Taylor, Duerr, Ryu, Valdez, and Senn</w:t>
      </w:r>
    </w:p>
    <w:p/>
    <w:p>
      <w:r>
        <w:rPr>
          <w:t xml:space="preserve">Read first time 02/27/21.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nicotine addiction with an emphasis on youth and persons under 21 years of age and the funding of prevention, cessation, and public health services through the taxation of vapor and tobacco products containing nicotine; amending RCW 82.04.440, 82.25.005, 82.25.010, 82.25.015, 82.25.020, 82.25.075, 82.25.060, 82.25.080, and 82.32.145; reenacting and amending RCW 70.155.120; adding a new section to chapter 82.04 RCW; adding new sections to chapter 82.25 RCW; creating a new section;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21 years of age, whose brains are still developing. The 2019 national youth tobacco survey found that about 27 percent of high school students reported current use of electronic cigarettes and, among electronic cigarette users, about one-third reported using electronic cigarettes on 20 or more of the preceding 30 days. Washington state healthy youth survey data is similar, including 30 percent of 12th graders using e-cigarettes and vapor products. Many of those vapor products have very high nicotine levels, increasing youth addiction, in addition to numerous ingredients with well documented potential health effects identified in a formal health impact review by the state board of health;</w:t>
      </w:r>
    </w:p>
    <w:p>
      <w:pPr>
        <w:spacing w:before="0" w:after="0" w:line="408" w:lineRule="exact"/>
        <w:ind w:left="0" w:right="0" w:firstLine="576"/>
        <w:jc w:val="left"/>
      </w:pPr>
      <w:r>
        <w:rPr/>
        <w:t xml:space="preserve">(b) Early research from Stanford University school of medicine indicates that teenagers and young adults that vape are five to seven times more likely to be infected with COVID-19 compared to those who do not use vapor products;</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(d) Youth and young adults who use vapor products are far more likely to begin smoking tobacco cigarettes than those who do not vape; </w:t>
      </w:r>
    </w:p>
    <w:p>
      <w:pPr>
        <w:spacing w:before="0" w:after="0" w:line="408" w:lineRule="exact"/>
        <w:ind w:left="0" w:right="0" w:firstLine="576"/>
        <w:jc w:val="left"/>
      </w:pPr>
      <w:r>
        <w:rPr/>
        <w:t xml:space="preserve">(e) The health and economic costs on the state of Washington and its residents from addiction to tobacco products are well documented. The centers for disease control reports that cigarette smoking is responsible for one in five deaths annually nationwide and overall mortality among smokers is about three times higher than similar people who never smoked;</w:t>
      </w:r>
    </w:p>
    <w:p>
      <w:pPr>
        <w:spacing w:before="0" w:after="0" w:line="408" w:lineRule="exact"/>
        <w:ind w:left="0" w:right="0" w:firstLine="576"/>
        <w:jc w:val="left"/>
      </w:pPr>
      <w:r>
        <w:rPr/>
        <w:t xml:space="preserve">(f) Consumers often use vapor products interchangeably with cigarettes or other tobacco products. Nicotine is the common denominator; creating and sustaining addiction across Washington state. A meta-analysis by the American public health association found that vaping was not associated with increased smoking cessation, and further research shows most people who vape continue to use tobacco concurrently;</w:t>
      </w:r>
    </w:p>
    <w:p>
      <w:pPr>
        <w:spacing w:before="0" w:after="0" w:line="408" w:lineRule="exact"/>
        <w:ind w:left="0" w:right="0" w:firstLine="576"/>
        <w:jc w:val="left"/>
      </w:pPr>
      <w:r>
        <w:rPr/>
        <w:t xml:space="preserve">(g) Washington state grants preferential business and occupation tax treatment to encourage manufacturing of useful substances or products in Washington. Cigarette, vapor, and tobacco manufacturers have benefited from this preference despite the high health effects and costs on the state government from their products;</w:t>
      </w:r>
    </w:p>
    <w:p>
      <w:pPr>
        <w:spacing w:before="0" w:after="0" w:line="408" w:lineRule="exact"/>
        <w:ind w:left="0" w:right="0" w:firstLine="576"/>
        <w:jc w:val="left"/>
      </w:pPr>
      <w:r>
        <w:rPr/>
        <w:t xml:space="preserve">(h) In 2019, the legislature enacted a vapor products tax based on milliliters of liquid in each product which was intended to both reduce youth access by raising the price of many youth-attractive vapor products and to dedicate the funding to a foundational public health services account for: Nicotine and substance use prevention, cessation, enforcement, and education; and public health services. The structure of the tax as enacted, however, did not significantly raise the price of very low-cost sealed vapor products that are very popular with youth under 21 years of age and fueling the epidemic of youth vaping and nicotine addiction. Nor did the structure of the tax provide the expected significant funding for the foundational public health services account; and</w:t>
      </w:r>
    </w:p>
    <w:p>
      <w:pPr>
        <w:spacing w:before="0" w:after="0" w:line="408" w:lineRule="exact"/>
        <w:ind w:left="0" w:right="0" w:firstLine="576"/>
        <w:jc w:val="left"/>
      </w:pPr>
      <w:r>
        <w:rPr/>
        <w:t xml:space="preserve">(i) The tobacco and vape industries have specifically targeted marketing toward Black, indigenous, people of color, LGBTQ, and other marginalized communities. As a result, these communities experience higher rates of nicotine use and resulting health disparities.</w:t>
      </w:r>
    </w:p>
    <w:p>
      <w:pPr>
        <w:spacing w:before="0" w:after="0" w:line="408" w:lineRule="exact"/>
        <w:ind w:left="0" w:right="0" w:firstLine="576"/>
        <w:jc w:val="left"/>
      </w:pPr>
      <w:r>
        <w:rPr/>
        <w:t xml:space="preserve">(2) Therefore, the legislature intends to protect the health of youth and young adults in Washington state by:</w:t>
      </w:r>
    </w:p>
    <w:p>
      <w:pPr>
        <w:spacing w:before="0" w:after="0" w:line="408" w:lineRule="exact"/>
        <w:ind w:left="0" w:right="0" w:firstLine="576"/>
        <w:jc w:val="left"/>
      </w:pPr>
      <w:r>
        <w:rPr/>
        <w:t xml:space="preserve">(a) Changing from a per milliliter tax to a more effective vapor product tax structure using an excise tax that will have a greater deterrent effect on purchases made by persons under the age of 21 while being more fair to stores that limit entry and purchases to adults over 21 years of age and increase the price of presealed high nicotine products that are heavily used by youth under 21 years of age;</w:t>
      </w:r>
    </w:p>
    <w:p>
      <w:pPr>
        <w:spacing w:before="0" w:after="0" w:line="408" w:lineRule="exact"/>
        <w:ind w:left="0" w:right="0" w:firstLine="576"/>
        <w:jc w:val="left"/>
      </w:pPr>
      <w:r>
        <w:rPr/>
        <w:t xml:space="preserve">(b) Stopping rewarding and encouraging manufacturers of nicotine addicting vapor and tobacco products through preferential tax rates for products that are amongst the deadliest products sold to Washington residents and which impose tremendous economic burdens on the state's health care systems;</w:t>
      </w:r>
    </w:p>
    <w:p>
      <w:pPr>
        <w:spacing w:before="0" w:after="0" w:line="408" w:lineRule="exact"/>
        <w:ind w:left="0" w:right="0" w:firstLine="576"/>
        <w:jc w:val="left"/>
      </w:pPr>
      <w:r>
        <w:rPr/>
        <w:t xml:space="preserve">(c) Discouraging the manufacture, processing, and distribution of nicotine addicting vapor and tobacco products and have them bear an increased share of the costs they cause on the state through a business and occupation tax surcharge;</w:t>
      </w:r>
    </w:p>
    <w:p>
      <w:pPr>
        <w:spacing w:before="0" w:after="0" w:line="408" w:lineRule="exact"/>
        <w:ind w:left="0" w:right="0" w:firstLine="576"/>
        <w:jc w:val="left"/>
      </w:pPr>
      <w:r>
        <w:rPr/>
        <w:t xml:space="preserve">(d) Significantly improving funding for programs that prevent and reduce nicotine addiction amongst youth and populations or communities that have disparately high nicotine addiction and use of tobacco or vapor products, and related educational and foundational public health services programs;</w:t>
      </w:r>
    </w:p>
    <w:p>
      <w:pPr>
        <w:spacing w:before="0" w:after="0" w:line="408" w:lineRule="exact"/>
        <w:ind w:left="0" w:right="0" w:firstLine="576"/>
        <w:jc w:val="left"/>
      </w:pPr>
      <w:r>
        <w:rPr/>
        <w:t xml:space="preserve">(e) Providing other means of reducing youth addiction to nicotine and access to nicotine products; and</w:t>
      </w:r>
    </w:p>
    <w:p>
      <w:pPr>
        <w:spacing w:before="0" w:after="0" w:line="408" w:lineRule="exact"/>
        <w:ind w:left="0" w:right="0" w:firstLine="576"/>
        <w:jc w:val="left"/>
      </w:pPr>
      <w:r>
        <w:rPr/>
        <w:t xml:space="preserve">(f) Adjusting the distribution of the foundational public health services account to include an emphasis on community-based strategies addressing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business activities occurring on or after October 1, 2021, a vapor products surcharge is imposed as follows:</w:t>
      </w:r>
    </w:p>
    <w:p>
      <w:pPr>
        <w:spacing w:before="0" w:after="0" w:line="408" w:lineRule="exact"/>
        <w:ind w:left="0" w:right="0" w:firstLine="576"/>
        <w:jc w:val="left"/>
      </w:pPr>
      <w:r>
        <w:rPr/>
        <w:t xml:space="preserve">(a) Upon every person engaging within this state in business as a manufacturer of vapor products or as a processor of vapor products for hire, in addition to the tax imposed under RCW 82.04.240, a surcharge equal to the value of the manufactured or processed vapor products, including by-products, multiplied by the rate of 4.4 percent;</w:t>
      </w:r>
    </w:p>
    <w:p>
      <w:pPr>
        <w:spacing w:before="0" w:after="0" w:line="408" w:lineRule="exact"/>
        <w:ind w:left="0" w:right="0" w:firstLine="576"/>
        <w:jc w:val="left"/>
      </w:pPr>
      <w:r>
        <w:rPr/>
        <w:t xml:space="preserve">(b) Upon every person engaging within this state in business as a vapor product distributor as defined in RCW 82.25.005, in addition to the tax imposed under RCW 82.04.240, a surcharge equal to the gross proceeds of sales of the vapor products multiplied by the rate of 4.4 percent.</w:t>
      </w:r>
    </w:p>
    <w:p>
      <w:pPr>
        <w:spacing w:before="0" w:after="0" w:line="408" w:lineRule="exact"/>
        <w:ind w:left="0" w:right="0" w:firstLine="576"/>
        <w:jc w:val="left"/>
      </w:pPr>
      <w:r>
        <w:rPr/>
        <w:t xml:space="preserve">(2) Beginning with business activities occurring on or after October 1, 2021, a tobacco products surcharge is imposed as follows:</w:t>
      </w:r>
    </w:p>
    <w:p>
      <w:pPr>
        <w:spacing w:before="0" w:after="0" w:line="408" w:lineRule="exact"/>
        <w:ind w:left="0" w:right="0" w:firstLine="576"/>
        <w:jc w:val="left"/>
      </w:pPr>
      <w:r>
        <w:rPr/>
        <w:t xml:space="preserve">(a) Upon every person engaging within this state in business as a manufacturer of tobacco products or as a processor of tobacco products for hire, in addition to the tax imposed under RCW 82.04.240, a surcharge equal to the value of the manufactured or processed tobacco products, including by-products, multiplied by the rate of 4.4 percent;</w:t>
      </w:r>
    </w:p>
    <w:p>
      <w:pPr>
        <w:spacing w:before="0" w:after="0" w:line="408" w:lineRule="exact"/>
        <w:ind w:left="0" w:right="0" w:firstLine="576"/>
        <w:jc w:val="left"/>
      </w:pPr>
      <w:r>
        <w:rPr/>
        <w:t xml:space="preserve">(b) Upon every person engaging within this state in business as a tobacco product distributor licensed under RCW 82.26.190, in addition to the tax imposed under RCW 82.04.240, a surcharge equal to the gross proceeds of sales of tobacco products multiplied by the rate of 4.4 percent.</w:t>
      </w:r>
    </w:p>
    <w:p>
      <w:pPr>
        <w:spacing w:before="0" w:after="0" w:line="408" w:lineRule="exact"/>
        <w:ind w:left="0" w:right="0" w:firstLine="576"/>
        <w:jc w:val="left"/>
      </w:pPr>
      <w:r>
        <w:rPr/>
        <w:t xml:space="preserve">(3) The money collected under this section must be deposited into the foundational public health services account created in RCW 82.25.015.</w:t>
      </w:r>
    </w:p>
    <w:p>
      <w:pPr>
        <w:spacing w:before="0" w:after="0" w:line="408" w:lineRule="exact"/>
        <w:ind w:left="0" w:right="0" w:firstLine="576"/>
        <w:jc w:val="left"/>
      </w:pPr>
      <w:r>
        <w:rPr/>
        <w:t xml:space="preserve">(4) As provided in RCW 82.04.440, a multiple activities tax credit is available for a person who is engaged in business as both a manufacturer or processor for hire and as a distributor of vapor products or tobacco products.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"Processor of tobacco products for hire" means a person who would be a manufacturer of tobacco products except the person performs labor on materials owned by another person.</w:t>
      </w:r>
    </w:p>
    <w:p>
      <w:pPr>
        <w:spacing w:before="0" w:after="0" w:line="408" w:lineRule="exact"/>
        <w:ind w:left="0" w:right="0" w:firstLine="576"/>
        <w:jc w:val="left"/>
      </w:pPr>
      <w:r>
        <w:rPr/>
        <w:t xml:space="preserve">(b) "Processor of vapor products for hire" means any person who would be a manufacturer of vapor products except the person performs labor on materials owned by another person.</w:t>
      </w:r>
    </w:p>
    <w:p>
      <w:pPr>
        <w:spacing w:before="0" w:after="0" w:line="408" w:lineRule="exact"/>
        <w:ind w:left="0" w:right="0" w:firstLine="576"/>
        <w:jc w:val="left"/>
      </w:pPr>
      <w:r>
        <w:rPr/>
        <w:t xml:space="preserve">(c) "Tobacco products" has the same meaning as in RCW 82.26.010.</w:t>
      </w:r>
    </w:p>
    <w:p>
      <w:pPr>
        <w:spacing w:before="0" w:after="0" w:line="408" w:lineRule="exact"/>
        <w:ind w:left="0" w:right="0" w:firstLine="576"/>
        <w:jc w:val="left"/>
      </w:pPr>
      <w:r>
        <w:rPr/>
        <w:t xml:space="preserve">(d) "Vapor product" has the same meaning as in RCW 82.25.005.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rPr>
          <w:u w:val="single"/>
        </w:rPr>
        <w:t xml:space="preserve">Persons taxable as manufacturers or processors for hire under section 2 (1)(a) or (2)(a) of this act are allowed a credit against those taxes for taxes on the distribution of the products under section 2 (1)(b) or (2)(b) of this act. The amount of the credit allowed in this subsection (5) may not exceed the tax liability arising under section 2 of this act with respect to the manufacturing, processing for hire, or distribution of those products.</w:t>
      </w:r>
    </w:p>
    <w:p>
      <w:pPr>
        <w:spacing w:before="0" w:after="0" w:line="408" w:lineRule="exact"/>
        <w:ind w:left="0" w:right="0" w:firstLine="576"/>
        <w:jc w:val="left"/>
      </w:pPr>
      <w:r>
        <w:rPr>
          <w:u w:val="single"/>
        </w:rPr>
        <w:t xml:space="preserve">(6)</w:t>
      </w:r>
      <w:r>
        <w:rPr/>
        <w:t xml:space="preserve">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strike/>
        </w:rPr>
        <w:t xml:space="preserve">(2)</w:t>
      </w:r>
      <w:r>
        <w:t>))</w:t>
      </w:r>
      <w:r>
        <w:rPr/>
        <w:t xml:space="preserve"> "Affiliated" means related in any way by virtue of any form or amount of common ownership, control, operation, or management.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Washington state liquor and cannabis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"Business" means any trade, occupation, activity, or enterprise engaged in selling or distributing vapor products in this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"Indian country" has the same meaning as provided in RCW 82.24.010.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"Manufacturer" has the same meaning as provided in RCW 70.345.010.</w:t>
      </w:r>
    </w:p>
    <w:p>
      <w:pPr>
        <w:spacing w:before="0" w:after="0" w:line="408" w:lineRule="exact"/>
        <w:ind w:left="0" w:right="0" w:firstLine="576"/>
        <w:jc w:val="left"/>
      </w:pPr>
      <w:r>
        <w:t>((</w:t>
      </w:r>
      <w:r>
        <w:rPr>
          <w:strike/>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(13)</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010</w:t>
      </w:r>
      <w:r>
        <w:rPr/>
        <w:t xml:space="preserve"> and 2019 c 445 s 102 are each amended to read as follows:</w:t>
      </w:r>
    </w:p>
    <w:p>
      <w:pPr>
        <w:spacing w:before="0" w:after="0" w:line="408" w:lineRule="exact"/>
        <w:ind w:left="0" w:right="0" w:firstLine="576"/>
        <w:jc w:val="left"/>
      </w:pPr>
      <w:r>
        <w:rPr/>
        <w:t xml:space="preserve">(1)(a) There is levied and collected a </w:t>
      </w:r>
      <w:r>
        <w:t>((</w:t>
      </w:r>
      <w:r>
        <w:rPr>
          <w:strike/>
        </w:rPr>
        <w:t xml:space="preserve">tax upon the sale, use, consumption, handling, possession, or distribution of all vapor products in this state as follows:</w:t>
      </w:r>
    </w:p>
    <w:p>
      <w:pPr>
        <w:spacing w:before="0" w:after="0" w:line="408" w:lineRule="exact"/>
        <w:ind w:left="0" w:right="0" w:firstLine="576"/>
        <w:jc w:val="left"/>
      </w:pPr>
      <w:r>
        <w:rPr>
          <w:strike/>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strike/>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strike/>
        </w:rPr>
        <w:t xml:space="preserve">(b) The tax in this section must be imposed based on the volume of the solution as listed by the manufacturer.</w:t>
      </w:r>
    </w:p>
    <w:p>
      <w:pPr>
        <w:spacing w:before="0" w:after="0" w:line="408" w:lineRule="exact"/>
        <w:ind w:left="0" w:right="0" w:firstLine="576"/>
        <w:jc w:val="left"/>
      </w:pPr>
      <w:r>
        <w:rPr>
          <w:strike/>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strike/>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strike/>
        </w:rPr>
        <w:t xml:space="preserve">(3)(a)</w:t>
      </w:r>
      <w:r>
        <w:t>))</w:t>
      </w:r>
      <w:r>
        <w:rPr/>
        <w:t xml:space="preserve"> </w:t>
      </w:r>
      <w:r>
        <w:rPr>
          <w:u w:val="single"/>
        </w:rPr>
        <w:t xml:space="preserve">vapor product excise tax equal to 45 percent of the selling price on each retail sale in this state of vapor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vapor products retail store, on the website or sales platform of a delivery seller, and in any advertising of vapor products that includes prices for vapor products.</w:t>
      </w:r>
    </w:p>
    <w:p>
      <w:pPr>
        <w:spacing w:before="0" w:after="0" w:line="408" w:lineRule="exact"/>
        <w:ind w:left="0" w:right="0" w:firstLine="576"/>
        <w:jc w:val="left"/>
      </w:pPr>
      <w:r>
        <w:rPr>
          <w:u w:val="single"/>
        </w:rPr>
        <w:t xml:space="preserve">(2)(a)</w:t>
      </w:r>
      <w:r>
        <w:rPr/>
        <w:t xml:space="preserve"> The moneys collected under this section must be deposited as follows:</w:t>
      </w:r>
    </w:p>
    <w:p>
      <w:pPr>
        <w:spacing w:before="0" w:after="0" w:line="408" w:lineRule="exact"/>
        <w:ind w:left="0" w:right="0" w:firstLine="576"/>
        <w:jc w:val="left"/>
      </w:pPr>
      <w:r>
        <w:rPr/>
        <w:t xml:space="preserve">(i) </w:t>
      </w:r>
      <w:r>
        <w:t>((</w:t>
      </w:r>
      <w:r>
        <w:rPr>
          <w:strike/>
        </w:rPr>
        <w:t xml:space="preserve">Fifty percent into the Andy Hill cancer research endowment fund match transfer account created in RCW 43.348.080; and</w:t>
      </w:r>
    </w:p>
    <w:p>
      <w:pPr>
        <w:spacing w:before="0" w:after="0" w:line="408" w:lineRule="exact"/>
        <w:ind w:left="0" w:right="0" w:firstLine="576"/>
        <w:jc w:val="left"/>
      </w:pPr>
      <w:r>
        <w:rPr>
          <w:strike/>
        </w:rPr>
        <w:t xml:space="preserve">(ii) Fifty percent into the foundational public health services account created in RCW 82.25.015</w:t>
      </w:r>
      <w:r>
        <w:t>))</w:t>
      </w:r>
      <w:r>
        <w:rPr/>
        <w:t xml:space="preserve"> </w:t>
      </w:r>
      <w:r>
        <w:rPr>
          <w:u w:val="single"/>
        </w:rPr>
        <w:t xml:space="preserve">The first $25,000,000 into the foundational public health services account created in RCW 82.25.015;</w:t>
      </w:r>
    </w:p>
    <w:p>
      <w:pPr>
        <w:spacing w:before="0" w:after="0" w:line="408" w:lineRule="exact"/>
        <w:ind w:left="0" w:right="0" w:firstLine="576"/>
        <w:jc w:val="left"/>
      </w:pPr>
      <w:r>
        <w:rPr>
          <w:u w:val="single"/>
        </w:rPr>
        <w:t xml:space="preserve">(ii) Fifty percent of the next $10,000,000 into the Andy Hill cancer research endowment fund match transfer account created in RCW 43.348.080; and</w:t>
      </w:r>
    </w:p>
    <w:p>
      <w:pPr>
        <w:spacing w:before="0" w:after="0" w:line="408" w:lineRule="exact"/>
        <w:ind w:left="0" w:right="0" w:firstLine="576"/>
        <w:jc w:val="left"/>
      </w:pPr>
      <w:r>
        <w:rPr>
          <w:u w:val="single"/>
        </w:rPr>
        <w:t xml:space="preserve">(iii) All remaining funds into the foundational public health services account created in RCW 82.25.015</w:t>
      </w:r>
      <w:r>
        <w:rPr/>
        <w:t xml:space="preserve">.</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0" w:after="0" w:line="408" w:lineRule="exact"/>
        <w:ind w:left="0" w:right="0" w:firstLine="576"/>
        <w:jc w:val="left"/>
      </w:pPr>
      <w:r>
        <w:rPr>
          <w:u w:val="single"/>
        </w:rPr>
        <w:t xml:space="preserve">(3) The tax imposed by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"Product" means vapor products.</w:t>
      </w:r>
    </w:p>
    <w:p>
      <w:pPr>
        <w:spacing w:before="0" w:after="0" w:line="408" w:lineRule="exact"/>
        <w:ind w:left="0" w:right="0" w:firstLine="576"/>
        <w:jc w:val="left"/>
      </w:pPr>
      <w:r>
        <w:rPr>
          <w:u w:val="single"/>
        </w:rPr>
        <w:t xml:space="preserve">(b) "Retail sale" has the meaning provided in RCW 82.08.010.</w:t>
      </w:r>
    </w:p>
    <w:p>
      <w:pPr>
        <w:spacing w:before="0" w:after="0" w:line="408" w:lineRule="exact"/>
        <w:ind w:left="0" w:right="0" w:firstLine="576"/>
        <w:jc w:val="left"/>
      </w:pPr>
      <w:r>
        <w:rPr>
          <w:u w:val="single"/>
        </w:rPr>
        <w:t xml:space="preserve">(c) "Selling price" has the meaning provided in RCW 82.08.010, except that when a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w:t>
      </w:r>
      <w:r>
        <w:t>((</w:t>
      </w:r>
      <w:r>
        <w:rPr>
          <w:strike/>
        </w:rPr>
        <w:t xml:space="preserve">Half of all of the moneys collected from the tax imposed on vapor products under RCW 66.44.010</w:t>
      </w:r>
      <w:r>
        <w:t>))</w:t>
      </w:r>
      <w:r>
        <w:rPr/>
        <w:t xml:space="preserve"> </w:t>
      </w:r>
      <w:r>
        <w:rPr>
          <w:u w:val="single"/>
        </w:rPr>
        <w:t xml:space="preserve">Except as otherwise provided in RCW 82.25.010, money collected from the tax imposed on vapor products under RCW 82.25.010</w:t>
      </w:r>
      <w:r>
        <w:rPr/>
        <w:t xml:space="preserve"> must be deposited into the account. </w:t>
      </w:r>
      <w:r>
        <w:rPr>
          <w:u w:val="single"/>
        </w:rPr>
        <w:t xml:space="preserve">Money collected from the vapor and tobacco products surcharge under section 2 of this act must be deposited into the account.</w:t>
      </w:r>
      <w:r>
        <w:rPr/>
        <w:t xml:space="preserve">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w:t>
      </w:r>
      <w:r>
        <w:rPr>
          <w:u w:val="single"/>
        </w:rPr>
        <w:t xml:space="preserve">, cessation,</w:t>
      </w:r>
      <w:r>
        <w:rPr/>
        <w:t xml:space="preserve"> and prevention, and other substance use prevention and education </w:t>
      </w:r>
      <w:r>
        <w:rPr>
          <w:u w:val="single"/>
        </w:rPr>
        <w:t xml:space="preserve">with an emphasis on community-based strategies, including programs that consider the disparate impacts of nicotine addiction on specific populations, including youth and racial or other disparities</w:t>
      </w:r>
      <w:r>
        <w:rPr/>
        <w:t xml:space="preserve">.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twenty-one. The agreements shall also set forth requirements for data reporting by the liquor and cannabis board regarding its enforcement activities. 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with an emphasis on community-based strategies addressing health inequity and racial disparities</w:t>
      </w:r>
      <w:r>
        <w:rPr/>
        <w:t xml:space="preserve">. 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with an emphasis on community-based strategies addressing health inequity and racial disparities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020</w:t>
      </w:r>
      <w:r>
        <w:rPr/>
        <w:t xml:space="preserve"> and 2019 c 445 s 104 are each amended to read as follows:</w:t>
      </w:r>
    </w:p>
    <w:p>
      <w:pPr>
        <w:spacing w:before="0" w:after="0" w:line="408" w:lineRule="exact"/>
        <w:ind w:left="0" w:right="0" w:firstLine="576"/>
        <w:jc w:val="left"/>
      </w:pPr>
      <w:r>
        <w:rPr/>
        <w:t xml:space="preserve">It is the intent and purpose of this chapter to levy a tax on all vapor products sold</w:t>
      </w:r>
      <w:r>
        <w:t>((</w:t>
      </w:r>
      <w:r>
        <w:rPr>
          <w:strike/>
        </w:rPr>
        <w:t xml:space="preserve">,</w:t>
      </w:r>
      <w:r>
        <w:t>))</w:t>
      </w:r>
      <w:r>
        <w:rPr/>
        <w:t xml:space="preserve"> </w:t>
      </w:r>
      <w:r>
        <w:rPr>
          <w:u w:val="single"/>
        </w:rPr>
        <w:t xml:space="preserve">or</w:t>
      </w:r>
      <w:r>
        <w:rPr/>
        <w:t xml:space="preserve"> used</w:t>
      </w:r>
      <w:r>
        <w:t>((</w:t>
      </w:r>
      <w:r>
        <w:rPr>
          <w:strike/>
        </w:rPr>
        <w:t xml:space="preserve">, consumed, handled, possessed, or distributed</w:t>
      </w:r>
      <w:r>
        <w:t>))</w:t>
      </w:r>
      <w:r>
        <w:rPr/>
        <w:t xml:space="preserve">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w:t>
      </w:r>
      <w:r>
        <w:t>((</w:t>
      </w:r>
      <w:r>
        <w:rPr>
          <w:strike/>
        </w:rPr>
        <w:t xml:space="preserve">(a)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strike/>
        </w:rPr>
        <w:t xml:space="preserve">(i) Notice of the transportation has been given as required under RCW 82.25.065;</w:t>
      </w:r>
    </w:p>
    <w:p>
      <w:pPr>
        <w:spacing w:before="0" w:after="0" w:line="408" w:lineRule="exact"/>
        <w:ind w:left="0" w:right="0" w:firstLine="576"/>
        <w:jc w:val="left"/>
      </w:pPr>
      <w:r>
        <w:rPr>
          <w:strike/>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strike/>
        </w:rPr>
        <w:t xml:space="preserve">(iii) The vapor products are consigned to or purchased by a person in this state who is licensed under chapter 70.345 RCW.</w:t>
      </w:r>
    </w:p>
    <w:p>
      <w:pPr>
        <w:spacing w:before="0" w:after="0" w:line="408" w:lineRule="exact"/>
        <w:ind w:left="0" w:right="0" w:firstLine="576"/>
        <w:jc w:val="left"/>
      </w:pPr>
      <w:r>
        <w:rPr>
          <w:strike/>
        </w:rPr>
        <w:t xml:space="preserve">(b) A violation of this subsection (2) is a gross misdemeanor.</w:t>
      </w:r>
    </w:p>
    <w:p>
      <w:pPr>
        <w:spacing w:before="0" w:after="0" w:line="408" w:lineRule="exact"/>
        <w:ind w:left="0" w:right="0" w:firstLine="576"/>
        <w:jc w:val="left"/>
      </w:pPr>
      <w:r>
        <w:rPr>
          <w:strike/>
        </w:rPr>
        <w:t xml:space="preserve">(3)</w:t>
      </w:r>
      <w:r>
        <w:t>))</w:t>
      </w:r>
      <w:r>
        <w:rPr/>
        <w:t xml:space="preserve">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w:t>
      </w:r>
      <w:r>
        <w:t>((</w:t>
      </w:r>
      <w:r>
        <w:rPr>
          <w:strike/>
        </w:rPr>
        <w:t xml:space="preserve">(3)</w:t>
      </w:r>
      <w:r>
        <w:t>))</w:t>
      </w:r>
      <w:r>
        <w:rPr/>
        <w:t xml:space="preserve"> is a misdemeanor.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t>((</w:t>
      </w:r>
      <w:r>
        <w:rPr>
          <w:strike/>
        </w:rPr>
        <w:t xml:space="preserve">(5) This section does not apply to a motor carrier or freight forwarder as defined in Title 49 U.S.C. Sec. 13102 or an air carrier as defined in Title 49 U.S.C. Sec. 40102.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060</w:t>
      </w:r>
      <w:r>
        <w:rPr/>
        <w:t xml:space="preserve"> and 2019 c 445 s 112 are each amended to read as follows:</w:t>
      </w:r>
    </w:p>
    <w:p>
      <w:pPr>
        <w:spacing w:before="0" w:after="0" w:line="408" w:lineRule="exact"/>
        <w:ind w:left="0" w:right="0" w:firstLine="576"/>
        <w:jc w:val="left"/>
      </w:pPr>
      <w:r>
        <w:t>((</w:t>
      </w:r>
      <w:r>
        <w:rPr>
          <w:strike/>
        </w:rPr>
        <w:t xml:space="preserve">(1)</w:t>
      </w:r>
      <w:r>
        <w:t>))</w:t>
      </w:r>
      <w:r>
        <w:rPr/>
        <w:t xml:space="preserve"> The department may by rule establish the invoice detail required under RCW 82.25.030 for a distributor and for those invoices required to be provided to retailers under RCW 82.25.040.</w:t>
      </w:r>
    </w:p>
    <w:p>
      <w:pPr>
        <w:spacing w:before="0" w:after="0" w:line="408" w:lineRule="exact"/>
        <w:ind w:left="0" w:right="0" w:firstLine="576"/>
        <w:jc w:val="left"/>
      </w:pPr>
      <w:r>
        <w:t>((</w:t>
      </w:r>
      <w:r>
        <w:rPr>
          <w:strike/>
        </w:rPr>
        <w:t xml:space="preserve">(2) If a retailer fails to keep invoices as required under RCW 82.25.040,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strike/>
        </w:rPr>
        <w:t xml:space="preserve">(3) If the department finds that the nonpayment of tax by the retailer was willful or if in the case of a second or plural nonpayment of tax by the retailer, penalties and interest must be assessed in accordance with chapter 82.32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080</w:t>
      </w:r>
      <w:r>
        <w:rPr/>
        <w:t xml:space="preserve"> and 2019 c 445 s 116 are each amended to read as follows:</w:t>
      </w:r>
    </w:p>
    <w:p>
      <w:pPr>
        <w:spacing w:before="0" w:after="0" w:line="408" w:lineRule="exact"/>
        <w:ind w:left="0" w:right="0" w:firstLine="576"/>
        <w:jc w:val="left"/>
      </w:pPr>
      <w:r>
        <w:rPr/>
        <w:t xml:space="preserve">(1) A retailer that obtains vapor products from an unlicensed distributor or any other person that is not licensed under chapter 70.345 RCW must be licensed both as a retailer and a distributor </w:t>
      </w:r>
      <w:r>
        <w:t>((</w:t>
      </w:r>
      <w:r>
        <w:rPr>
          <w:strike/>
        </w:rPr>
        <w:t xml:space="preserve">and is liable for the tax imposed under RCW 82.25.010 with respect to the vapor products acquired from the unlicensed person that are held for sale, handling, or distribution in this state</w:t>
      </w:r>
      <w:r>
        <w:t>))</w:t>
      </w:r>
      <w:r>
        <w:rPr/>
        <w:t xml:space="preserve">. For the purposes of this subsection, "person" includes both persons defined in chapter 445, Laws of 2019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legislature intends to create a tax credit so that vapor products taxed at the wholesale level under the law as it existed immediately before the effective date of this section are not also taxed in a retail sale under the provisions of this act.</w:t>
      </w:r>
    </w:p>
    <w:p>
      <w:pPr>
        <w:spacing w:before="0" w:after="0" w:line="408" w:lineRule="exact"/>
        <w:ind w:left="0" w:right="0" w:firstLine="576"/>
        <w:jc w:val="left"/>
      </w:pPr>
      <w:r>
        <w:rPr/>
        <w:t xml:space="preserve">(2) Except as provided in subsection (3) of this section, a tax credit is established and available to distributors with respect to vapor products:</w:t>
      </w:r>
    </w:p>
    <w:p>
      <w:pPr>
        <w:spacing w:before="0" w:after="0" w:line="408" w:lineRule="exact"/>
        <w:ind w:left="0" w:right="0" w:firstLine="576"/>
        <w:jc w:val="left"/>
      </w:pPr>
      <w:r>
        <w:rPr/>
        <w:t xml:space="preserve">(a) In their possession on the effective date of this section on which tax was paid to the state by the distributor pursuant to the law as it existed immediately before the effective date of this section; or</w:t>
      </w:r>
    </w:p>
    <w:p>
      <w:pPr>
        <w:spacing w:before="0" w:after="0" w:line="408" w:lineRule="exact"/>
        <w:ind w:left="0" w:right="0" w:firstLine="576"/>
        <w:jc w:val="left"/>
      </w:pPr>
      <w:r>
        <w:rPr/>
        <w:t xml:space="preserve">(b) Returned to the distributor by a retailer, other purchaser, or consignee, on or after the effective date of this section, if tax on the vapor products was previously paid by the distributor to the state pursuant to the law as it existed immediately before the effective date of this section.</w:t>
      </w:r>
    </w:p>
    <w:p>
      <w:pPr>
        <w:spacing w:before="0" w:after="0" w:line="408" w:lineRule="exact"/>
        <w:ind w:left="0" w:right="0" w:firstLine="576"/>
        <w:jc w:val="left"/>
      </w:pPr>
      <w:r>
        <w:rPr/>
        <w:t xml:space="preserve">(3) Nothing in this section authorizes a tax credit for vapor products that are expired, destroyed, unsellable, or that are not held for sale by the distributor and intended to ultimately be sold by a licensee at retail.</w:t>
      </w:r>
    </w:p>
    <w:p>
      <w:pPr>
        <w:spacing w:before="0" w:after="0" w:line="408" w:lineRule="exact"/>
        <w:ind w:left="0" w:right="0" w:firstLine="576"/>
        <w:jc w:val="left"/>
      </w:pPr>
      <w:r>
        <w:rPr/>
        <w:t xml:space="preserve">(4)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(5) To be eligible for a tax credit under this section, a distributor shall apply for the credit to the department on a form and in a manner required by the department. The department may establish requirements related to distributors documenting and claiming a tax credit pursuant to this section in order to determine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taxes imposed by this chapter do not apply to the sale of vapor products by an Indian retailer during the effective date of a vapor product tax contract subject to RCW 43.06.510 or a vapor product tax agreement under RCW 43.06.515.</w:t>
      </w:r>
    </w:p>
    <w:p>
      <w:pPr>
        <w:spacing w:before="0" w:after="0" w:line="408" w:lineRule="exact"/>
        <w:ind w:left="0" w:right="0" w:firstLine="576"/>
        <w:jc w:val="left"/>
      </w:pPr>
      <w:r>
        <w:rPr/>
        <w:t xml:space="preserve">(2) The definitions in RCW 43.06.505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w:t>
      </w:r>
      <w:r>
        <w:rPr>
          <w:u w:val="single"/>
        </w:rPr>
        <w:t xml:space="preserve">or 82.25.010</w:t>
      </w:r>
      <w:r>
        <w:rPr/>
        <w:t xml:space="preserve">, including taxes imposed under RCW 82.08.020, 82.08.150, </w:t>
      </w:r>
      <w:r>
        <w:rPr>
          <w:u w:val="single"/>
        </w:rPr>
        <w:t xml:space="preserve">82.25.010,</w:t>
      </w:r>
      <w:r>
        <w:rPr/>
        <w:t xml:space="preserve"> and 82.51.010.</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October 1, 2021.</w:t>
      </w:r>
    </w:p>
    <w:p>
      <w:pPr>
        <w:spacing w:before="0" w:after="0" w:line="408" w:lineRule="exact"/>
        <w:ind w:left="0" w:right="0" w:firstLine="576"/>
        <w:jc w:val="left"/>
      </w:pPr>
      <w:r>
        <w:rPr/>
        <w:t xml:space="preserve">(2) Sections 4 through 16 of this act take effect January 1, 2022.</w:t>
      </w:r>
    </w:p>
    <w:p/>
    <w:p>
      <w:pPr>
        <w:jc w:val="center"/>
      </w:pPr>
      <w:r>
        <w:rPr>
          <w:b/>
        </w:rPr>
        <w:t>--- END ---</w:t>
      </w:r>
    </w:p>
    <w:sectPr>
      <w:pgNumType w:start="1"/>
      <w:footerReference xmlns:r="http://schemas.openxmlformats.org/officeDocument/2006/relationships" r:id="R582486af4ecd45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1ea2b97834e57" /><Relationship Type="http://schemas.openxmlformats.org/officeDocument/2006/relationships/footer" Target="/word/footer1.xml" Id="R582486af4ecd4549" /></Relationships>
</file>