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39288fd7734adf" /></Relationships>
</file>

<file path=word/document.xml><?xml version="1.0" encoding="utf-8"?>
<w:document xmlns:w="http://schemas.openxmlformats.org/wordprocessingml/2006/main">
  <w:body>
    <w:p>
      <w:r>
        <w:t>H-1462.3</w:t>
      </w:r>
    </w:p>
    <w:p>
      <w:pPr>
        <w:jc w:val="center"/>
      </w:pPr>
      <w:r>
        <w:t>_______________________________________________</w:t>
      </w:r>
    </w:p>
    <w:p/>
    <w:p>
      <w:pPr>
        <w:jc w:val="center"/>
      </w:pPr>
      <w:r>
        <w:rPr>
          <w:b/>
        </w:rPr>
        <w:t>HOUSE BILL 1568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Bergquist, Gregerson, Ormsby, Leavitt, Berry, Macri, Santos, Duerr, Kloba, Paul, and Sullivan</w:t>
      </w:r>
    </w:p>
    <w:p/>
    <w:p>
      <w:r>
        <w:rPr>
          <w:t xml:space="preserve">Read first time 04/02/21.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relief for small businesses; adding a new section to chapter 50.16 RCW; adding new sections to chapter 50.29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businesses in Washington have experienced significant and unanticipated impacts during the COVID-19 pandemic. Small businesses have fewer reserves and fewer resources to rely upon in periods of downturn. Those businesses owned by historically disadvantaged groups, such as women, minority populations, and immigrants, often experience a compounding of those issues experienced across the business community. These businesses form the backbone of Washington's diverse and resilient economy, and their survival is crucial to the state's continuing growth and vitality. For these already disadvantaged small businesses, the economic impacts of the COVID-19 pandemic have been particularly devastating.</w:t>
      </w:r>
    </w:p>
    <w:p>
      <w:pPr>
        <w:spacing w:before="0" w:after="0" w:line="408" w:lineRule="exact"/>
        <w:ind w:left="0" w:right="0" w:firstLine="576"/>
        <w:jc w:val="left"/>
      </w:pPr>
      <w:r>
        <w:rPr/>
        <w:t xml:space="preserve">(2) The legislature finds that ESSB 5061, passed by the legislature and signed by the governor earlier in the 2021 session, mitigated immediate impacts to employers through caps on the social tax, suspension of the solvency surcharge, and relief of certain benefit charges.</w:t>
      </w:r>
    </w:p>
    <w:p>
      <w:pPr>
        <w:spacing w:before="0" w:after="0" w:line="408" w:lineRule="exact"/>
        <w:ind w:left="0" w:right="0" w:firstLine="576"/>
        <w:jc w:val="left"/>
      </w:pPr>
      <w:r>
        <w:rPr/>
        <w:t xml:space="preserve">(3) The legislature now intends to address the disproportionate impacts on small businesses beyond the limited time period addressed in ESSB 5061, and particularly those small businesses in industry sectors uniquely impacted by the COVID-19 pandemic. The legislature intends to provide this targeted relief through the one-time application of funds, in order to provide critical support for many of the businesses that are essential to Washington's recovery and ongoing economic vitality, while maintaining a healthy unemployment insurance trust fund for Washington's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unemployment insurance relief account is created in the custody of the state treasurer. Revenues to the account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compensation fund created in RCW 50.16.010 for forgiven benefits for COVID-19 impacted businesses pursuant to sections 3 and 4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By July 1, 2022, the commissioner must certify to the state treasurer the amount of any unobligated moneys in the unemployment insurance relief account that were appropriated by the legislature from the general fund during the 2021-2023 fiscal biennium, and the treasurer must transfer those moneys back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October 1, 2021, the department must determine the forgiven benefits for approved tier 1 employers to be reimbursed by the unemployment insurance relief account instead of charged to the employer's experience rating account. Total approved benefits for all approved tier 1 employers may not exceed the available benefits for tier 1.</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tier 1 employer during the fiscal year ending June 30, 2021, not to exceed an amount that would reduce the employer's rate class increase to no more than a one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tier 1 employer" means a contribution paying employer:</w:t>
      </w:r>
    </w:p>
    <w:p>
      <w:pPr>
        <w:spacing w:before="0" w:after="0" w:line="408" w:lineRule="exact"/>
        <w:ind w:left="0" w:right="0" w:firstLine="576"/>
        <w:jc w:val="left"/>
      </w:pPr>
      <w:r>
        <w:rPr/>
        <w:t xml:space="preserve">(i) With 20 or fewer employees in the state as reported on the employer's fourth quarter report to the department for 2019;</w:t>
      </w:r>
    </w:p>
    <w:p>
      <w:pPr>
        <w:spacing w:before="0" w:after="0" w:line="408" w:lineRule="exact"/>
        <w:ind w:left="0" w:right="0" w:firstLine="576"/>
        <w:jc w:val="left"/>
      </w:pPr>
      <w:r>
        <w:rPr/>
        <w:t xml:space="preserve">(ii) Whose experience rating under RCW 50.29.025(1)(a)(ii) has increased by two or more rate classes from rate year 2021 to rate year 2022; and</w:t>
      </w:r>
    </w:p>
    <w:p>
      <w:pPr>
        <w:spacing w:before="0" w:after="0" w:line="408" w:lineRule="exact"/>
        <w:ind w:left="0" w:right="0" w:firstLine="576"/>
        <w:jc w:val="left"/>
      </w:pPr>
      <w:r>
        <w:rPr/>
        <w:t xml:space="preserve">(iii) Whose North American industry classification system code for rate year 2021 is within "323," "448," "451," "453," "481," "485," "487," "488," "512," "519," "524," "532," "541," "561," "711," "713," "721," "722," "811," "812," and "813."</w:t>
      </w:r>
    </w:p>
    <w:p>
      <w:pPr>
        <w:spacing w:before="0" w:after="0" w:line="408" w:lineRule="exact"/>
        <w:ind w:left="0" w:right="0" w:firstLine="576"/>
        <w:jc w:val="left"/>
      </w:pPr>
      <w:r>
        <w:rPr/>
        <w:t xml:space="preserve">(c) "Available benefits for tier 1" means $350,000,000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tier 1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After October 1, 2021, but before November 1, 2021, the department must determine the forgiven benefits for approved tier 2 employers to be reimbursed by the unemployment insurance relief account instead of charged to the employer's experience rating account. Total approved benefits for all approved tier 2 employers may not exceed the available benefits for tier 2.</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tier 2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tier 2 employer" means a contribution paying employer:</w:t>
      </w:r>
    </w:p>
    <w:p>
      <w:pPr>
        <w:spacing w:before="0" w:after="0" w:line="408" w:lineRule="exact"/>
        <w:ind w:left="0" w:right="0" w:firstLine="576"/>
        <w:jc w:val="left"/>
      </w:pPr>
      <w:r>
        <w:rPr/>
        <w:t xml:space="preserve">(i) With more than 20 but fewer than 500 employees in the state as reported on the employer's fourth quarter report to the department for 2019;</w:t>
      </w:r>
    </w:p>
    <w:p>
      <w:pPr>
        <w:spacing w:before="0" w:after="0" w:line="408" w:lineRule="exact"/>
        <w:ind w:left="0" w:right="0" w:firstLine="576"/>
        <w:jc w:val="left"/>
      </w:pPr>
      <w:r>
        <w:rPr/>
        <w:t xml:space="preserve">(ii) Whose experience rating under RCW 50.29.025(1)(a)(ii) has increased by three or more rate classes from rate year 2021 to rate year 2022; and</w:t>
      </w:r>
    </w:p>
    <w:p>
      <w:pPr>
        <w:spacing w:before="0" w:after="0" w:line="408" w:lineRule="exact"/>
        <w:ind w:left="0" w:right="0" w:firstLine="576"/>
        <w:jc w:val="left"/>
      </w:pPr>
      <w:r>
        <w:rPr/>
        <w:t xml:space="preserve">(iii) Whose North American industry classification system code for rate year 2021 is within "323," "448," "451," "453," "481," "485," "487," "488," "512," "519," "524," "532," "541," "561," "711," "713," "721," "722," "811," "812," and "813."</w:t>
      </w:r>
    </w:p>
    <w:p>
      <w:pPr>
        <w:spacing w:before="0" w:after="0" w:line="408" w:lineRule="exact"/>
        <w:ind w:left="0" w:right="0" w:firstLine="576"/>
        <w:jc w:val="left"/>
      </w:pPr>
      <w:r>
        <w:rPr/>
        <w:t xml:space="preserve">(c) "Available benefits for tier 2" means the sum total of:</w:t>
      </w:r>
    </w:p>
    <w:p>
      <w:pPr>
        <w:spacing w:before="0" w:after="0" w:line="408" w:lineRule="exact"/>
        <w:ind w:left="0" w:right="0" w:firstLine="576"/>
        <w:jc w:val="left"/>
      </w:pPr>
      <w:r>
        <w:rPr/>
        <w:t xml:space="preserve">(i) The difference between the available benefits for tier 1, as defined in section 3 of this act, and the total approved benefits for approved tier 1 employers, as defined in section 3 of this act; and</w:t>
      </w:r>
    </w:p>
    <w:p>
      <w:pPr>
        <w:spacing w:before="0" w:after="0" w:line="408" w:lineRule="exact"/>
        <w:ind w:left="0" w:right="0" w:firstLine="576"/>
        <w:jc w:val="left"/>
      </w:pPr>
      <w:r>
        <w:rPr/>
        <w:t xml:space="preserve">(ii) $150,000,000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tier 2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After November 1, 2021, but before December 1, 2021, the department must determine the forgiven benefits for approved tier 3 employers to be reimbursed by the unemployment insurance relief account instead of charged to the employer's experience rating account. Total approved benefits for all approved tier 3 employers may not exceed the available benefits for tier 3.</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tier 3 employer during the fiscal year ending June 30, 2021, not to exceed an amount that would reduce the employer's rate class increase to no more than a four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tier 3 employer" means a contribution paying employer:</w:t>
      </w:r>
    </w:p>
    <w:p>
      <w:pPr>
        <w:spacing w:before="0" w:after="0" w:line="408" w:lineRule="exact"/>
        <w:ind w:left="0" w:right="0" w:firstLine="576"/>
        <w:jc w:val="left"/>
      </w:pPr>
      <w:r>
        <w:rPr/>
        <w:t xml:space="preserve">(i) Whose experience rating under RCW 50.29.025(1)(a)(ii) has increased by six or more rate classes from rate year 2021 to rate year 2022;</w:t>
      </w:r>
    </w:p>
    <w:p>
      <w:pPr>
        <w:spacing w:before="0" w:after="0" w:line="408" w:lineRule="exact"/>
        <w:ind w:left="0" w:right="0" w:firstLine="576"/>
        <w:jc w:val="left"/>
      </w:pPr>
      <w:r>
        <w:rPr/>
        <w:t xml:space="preserve">(ii) With fewer than 500 employees in the state as reported on the employer's fourth quarter report to the department for 2019; and</w:t>
      </w:r>
    </w:p>
    <w:p>
      <w:pPr>
        <w:spacing w:before="0" w:after="0" w:line="408" w:lineRule="exact"/>
        <w:ind w:left="0" w:right="0" w:firstLine="576"/>
        <w:jc w:val="left"/>
      </w:pPr>
      <w:r>
        <w:rPr/>
        <w:t xml:space="preserve">(iii) Who does not meet the definition of approved tier 1 employer under section 3(3) of this act or approved tier 2 employer under section 4(3) of this act.</w:t>
      </w:r>
    </w:p>
    <w:p>
      <w:pPr>
        <w:spacing w:before="0" w:after="0" w:line="408" w:lineRule="exact"/>
        <w:ind w:left="0" w:right="0" w:firstLine="576"/>
        <w:jc w:val="left"/>
      </w:pPr>
      <w:r>
        <w:rPr/>
        <w:t xml:space="preserve">(c) "Available benefits for tier 3" means the sum total of:</w:t>
      </w:r>
    </w:p>
    <w:p>
      <w:pPr>
        <w:spacing w:before="0" w:after="0" w:line="408" w:lineRule="exact"/>
        <w:ind w:left="0" w:right="0" w:firstLine="576"/>
        <w:jc w:val="left"/>
      </w:pPr>
      <w:r>
        <w:rPr/>
        <w:t xml:space="preserve">(i) The difference between the available benefits for tier 2, as defined under section 4 of this act, and the total approved benefits for approved tier 2 employers, as defined under section 4 of this act; and</w:t>
      </w:r>
    </w:p>
    <w:p>
      <w:pPr>
        <w:spacing w:before="0" w:after="0" w:line="408" w:lineRule="exact"/>
        <w:ind w:left="0" w:right="0" w:firstLine="576"/>
        <w:jc w:val="left"/>
      </w:pPr>
      <w:r>
        <w:rPr/>
        <w:t xml:space="preserve">(ii) $100,000,000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tier 3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eacd295bc834e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2a9d1451d487a" /><Relationship Type="http://schemas.openxmlformats.org/officeDocument/2006/relationships/footer" Target="/word/footer1.xml" Id="R1eacd295bc834e11" /></Relationships>
</file>