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5a95d57e84cd6" /></Relationships>
</file>

<file path=word/document.xml><?xml version="1.0" encoding="utf-8"?>
<w:document xmlns:w="http://schemas.openxmlformats.org/wordprocessingml/2006/main">
  <w:body>
    <w:p>
      <w:r>
        <w:t>H-1674.1</w:t>
      </w:r>
    </w:p>
    <w:p>
      <w:pPr>
        <w:jc w:val="center"/>
      </w:pPr>
      <w:r>
        <w:t>_______________________________________________</w:t>
      </w:r>
    </w:p>
    <w:p/>
    <w:p>
      <w:pPr>
        <w:jc w:val="center"/>
      </w:pPr>
      <w:r>
        <w:rPr>
          <w:b/>
        </w:rPr>
        <w:t>HOUSE BILL 1597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Boehnke, Corry, Chase, Graham, Klippert, Stokesbary, Eslick, Chambers, and Young</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the payment of premiums to the long-term services and supports trust program based on hardship; amending RCW 50B.04.080;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exemptions from the premium assessment under RCW 50B.04.080 for those individuals who meet the criteria for an exemption based upon hardship, as provided in this section.</w:t>
      </w:r>
    </w:p>
    <w:p>
      <w:pPr>
        <w:spacing w:before="0" w:after="0" w:line="408" w:lineRule="exact"/>
        <w:ind w:left="0" w:right="0" w:firstLine="576"/>
        <w:jc w:val="left"/>
      </w:pPr>
      <w:r>
        <w:rPr/>
        <w:t xml:space="preserve">(2) An individual may demonstrate hardship by establishing that the income of the individual's household does not exceed 300 percent of the federal poverty guidelines, as adjusted for family size, as determined annually by the department of health and human services. The commission may recommend other circumstances that constitute hardship for the employment security department to consider. The employment security department may establish standards for any additional exemption based upon hardship upon recommendation by the commission.</w:t>
      </w:r>
    </w:p>
    <w:p>
      <w:pPr>
        <w:spacing w:before="0" w:after="0" w:line="408" w:lineRule="exact"/>
        <w:ind w:left="0" w:right="0" w:firstLine="576"/>
        <w:jc w:val="left"/>
      </w:pPr>
      <w:r>
        <w:rPr/>
        <w:t xml:space="preserve">(3) The employment security department shall determine standards and time periods for renewing an exemption based on hardship. The renewal period may not be less than two years.</w:t>
      </w:r>
    </w:p>
    <w:p>
      <w:pPr>
        <w:spacing w:before="0" w:after="0" w:line="408" w:lineRule="exact"/>
        <w:ind w:left="0" w:right="0" w:firstLine="576"/>
        <w:jc w:val="left"/>
      </w:pPr>
      <w:r>
        <w:rPr/>
        <w:t xml:space="preserve">(4) An individual with an exemption based upon hardship may, at any time, cancel the exemption and resume payment of the premium assessment under RCW 50B.04.080. The employment security department may reduce the number of benefit units that an individual who obtains an exemption based upon hardship may receive. The employment security department must develop a formula for determining the reduction of benefit units based upon the amount of time that a person held an exemption and the overall number of years that the person paid the premium under RCW 50B.04.080 prior to making an application for benefits.</w:t>
      </w:r>
    </w:p>
    <w:p>
      <w:pPr>
        <w:spacing w:before="0" w:after="0" w:line="408" w:lineRule="exact"/>
        <w:ind w:left="0" w:right="0" w:firstLine="576"/>
        <w:jc w:val="left"/>
      </w:pPr>
      <w:r>
        <w:rPr/>
        <w:t xml:space="preserve">(5) Approved exemptions will take effect on the first day of the quarter immediately following the approval of the exemption.</w:t>
      </w:r>
    </w:p>
    <w:p>
      <w:pPr>
        <w:spacing w:before="0" w:after="0" w:line="408" w:lineRule="exact"/>
        <w:ind w:left="0" w:right="0" w:firstLine="576"/>
        <w:jc w:val="left"/>
      </w:pPr>
      <w:r>
        <w:rPr/>
        <w:t xml:space="preserve">(6) Exempt employees are not entitled to a refund of any premium deductions made before the effective date of an approved exemption.</w:t>
      </w:r>
    </w:p>
    <w:p>
      <w:pPr>
        <w:spacing w:before="0" w:after="0" w:line="408" w:lineRule="exact"/>
        <w:ind w:left="0" w:right="0" w:firstLine="576"/>
        <w:jc w:val="left"/>
      </w:pPr>
      <w:r>
        <w:rPr/>
        <w:t xml:space="preserve">(7) An exempt employee must provide written notification to all employers with whom the employee is employed during the period of the exemption based on hardship.</w:t>
      </w:r>
    </w:p>
    <w:p>
      <w:pPr>
        <w:spacing w:before="0" w:after="0" w:line="408" w:lineRule="exact"/>
        <w:ind w:left="0" w:right="0" w:firstLine="576"/>
        <w:jc w:val="left"/>
      </w:pPr>
      <w:r>
        <w:rPr/>
        <w:t xml:space="preserve">(8)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(9) Employers must not deduct premiums after being notified by an employee of an approved exemption issued under this section.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(10) The employment security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af96edb2d66145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1eb5d65cb4013" /><Relationship Type="http://schemas.openxmlformats.org/officeDocument/2006/relationships/footer" Target="/word/footer1.xml" Id="Raf96edb2d66145d3" /></Relationships>
</file>