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151a7d17a48fd" /></Relationships>
</file>

<file path=word/document.xml><?xml version="1.0" encoding="utf-8"?>
<w:document xmlns:w="http://schemas.openxmlformats.org/wordprocessingml/2006/main">
  <w:body>
    <w:p>
      <w:r>
        <w:t>H-1710.1</w:t>
      </w:r>
    </w:p>
    <w:p>
      <w:pPr>
        <w:jc w:val="center"/>
      </w:pPr>
      <w:r>
        <w:t>_______________________________________________</w:t>
      </w:r>
    </w:p>
    <w:p/>
    <w:p>
      <w:pPr>
        <w:jc w:val="center"/>
      </w:pPr>
      <w:r>
        <w:rPr>
          <w:b/>
        </w:rPr>
        <w:t>HOUSE BILL 1604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MacEwen, Barkis, Abbarno, Caldier, Eslick, Robertson, Graham, Corry, Stokesbary, Chase, Dufault, Gilday, Jacobsen, Volz, Maycumber, Griffey, Chambers, and Young</w:t>
      </w:r>
    </w:p>
    <w:p/>
    <w:p>
      <w:r>
        <w:rPr>
          <w:t xml:space="preserve">Prefiled 12/07/21.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for transportation; amending RCW 82.08.020, 82.12.020, 43.84.092, and 43.84.092; adding a new section to chapter 46.68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This is an unsustainable model of funding in light of the trend to adopt laws that are meant to reduce vehicle miles traveled, reduce the quantity of emissions of greenhouse gases per distance traveled in the transportation sector, and reduce the sale of fossil fuels. There is an immediate need for additional funding to address a backlog in preservation and maintenance on the existing transportation system.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twenty-first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2022, and every year thereafter,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 Beginning July 1, 2022, and every year thereafter 100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transportation preservation and maintenance account is created in the state treasury. Moneys in the account may be spent only after appropriation. Expenditures from the account may be used only for transportation projects, programs, or activities.</w:t>
      </w:r>
    </w:p>
    <w:p>
      <w:pPr>
        <w:spacing w:before="0" w:after="0" w:line="408" w:lineRule="exact"/>
        <w:ind w:left="0" w:right="0" w:firstLine="576"/>
        <w:jc w:val="left"/>
      </w:pPr>
      <w:r>
        <w:rPr/>
        <w:t xml:space="preserve">(2) All sales and use tax revenues on new and used vehicles deposited into the transportation preservation and maintenance account pursuant to RCW 82.08.020 and 82.12.020 must be used exclusively on a cash funding basis for transportation projects, programs, and activities, including reducing the reliance on transportation-related debt obligations pursuant to subsection (3) of this section. All sales and use tax revenues on new and used vehicles deposited into the transportation preservation and maintenance account pursuant to RCW 82.08.020 and 82.12.020 cannot be used for any new revenue bond issues or used as a source for any other type of debt or similar type of financing mechanism.</w:t>
      </w:r>
    </w:p>
    <w:p>
      <w:pPr>
        <w:spacing w:before="0" w:after="0" w:line="408" w:lineRule="exact"/>
        <w:ind w:left="0" w:right="0" w:firstLine="576"/>
        <w:jc w:val="left"/>
      </w:pPr>
      <w:r>
        <w:rPr/>
        <w:t xml:space="preserve">(3) Part of the purpose in the allocation of additional resources from the sales and use tax revenues on new and used vehicles into the transportation preservation and maintenance account pursuant to RCW 82.08.020 and 82.12.020 is to lower the overall reliance on debt financing for transportation projects and infrastructure. Beginning December 1, 2023,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(4)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310d0a8452e49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4b37f7e1045df" /><Relationship Type="http://schemas.openxmlformats.org/officeDocument/2006/relationships/footer" Target="/word/footer1.xml" Id="R5310d0a8452e4963" /></Relationships>
</file>