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ab46f8114498c" /></Relationships>
</file>

<file path=word/document.xml><?xml version="1.0" encoding="utf-8"?>
<w:document xmlns:w="http://schemas.openxmlformats.org/wordprocessingml/2006/main">
  <w:body>
    <w:p>
      <w:r>
        <w:t>H-2412.1</w:t>
      </w:r>
    </w:p>
    <w:p>
      <w:pPr>
        <w:jc w:val="center"/>
      </w:pPr>
      <w:r>
        <w:t>_______________________________________________</w:t>
      </w:r>
    </w:p>
    <w:p/>
    <w:p>
      <w:pPr>
        <w:jc w:val="center"/>
      </w:pPr>
      <w:r>
        <w:rPr>
          <w:b/>
        </w:rPr>
        <w:t>SUBSTITUTE HOUSE BILL 1627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Goehner, Eslick, Robertson, Graham, Dufault, Jacobsen, and Griffey)</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it possible for more properties to have access to water, storm drains, and sanitary sewage systems; amending RCW 36.70A.070, 36.70A.110, 36.70A.320, 36.93.100, and 36.93.105;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needs to be increased flexibility in extending publicly provided water, sewer, and stormwater facilities beyond municipal and urban growth boundaries when there are environmental or health harms from the lack of those utilities, extension will not foster urban growth, and the affected communities and governmental bodies determine it is economically feasible and prudent.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w:t>
      </w:r>
      <w:r>
        <w:rPr>
          <w:u w:val="single"/>
        </w:rPr>
        <w:t xml:space="preserve">while meeting needs of the people in those communities, including access to domestic water, storm, and sanitary sewer systems that are feasible and affordable for the location</w:t>
      </w:r>
      <w:r>
        <w:rPr/>
        <w:t xml:space="preserve">.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w:t>
      </w:r>
      <w:r>
        <w:rPr>
          <w:u w:val="single"/>
        </w:rPr>
        <w:t xml:space="preserve">,</w:t>
      </w:r>
      <w:r>
        <w:rPr/>
        <w:t xml:space="preserv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w:t>
      </w:r>
      <w:r>
        <w:t>((</w:t>
      </w:r>
      <w:r>
        <w:rPr>
          <w:strike/>
        </w:rPr>
        <w:t xml:space="preserve">in</w:t>
      </w:r>
      <w:r>
        <w:t>))</w:t>
      </w:r>
      <w:r>
        <w:rPr>
          <w:u w:val="single"/>
        </w:rPr>
        <w:t xml:space="preserve">:</w:t>
      </w:r>
    </w:p>
    <w:p>
      <w:pPr>
        <w:spacing w:before="0" w:after="0" w:line="408" w:lineRule="exact"/>
        <w:ind w:left="0" w:right="0" w:firstLine="576"/>
        <w:jc w:val="left"/>
      </w:pPr>
      <w:r>
        <w:rPr>
          <w:u w:val="single"/>
        </w:rPr>
        <w:t xml:space="preserve">(a) In</w:t>
      </w:r>
      <w:r>
        <w:rPr/>
        <w:t xml:space="preserve"> those limited circumstances shown to be necessary to protect basic public health and safety and the environment and when such services are financially supportable at rural densities and do not permit urban development</w:t>
      </w:r>
      <w:r>
        <w:rPr>
          <w:u w:val="single"/>
        </w:rPr>
        <w:t xml:space="preserve">; or</w:t>
      </w:r>
    </w:p>
    <w:p>
      <w:pPr>
        <w:spacing w:before="0" w:after="0" w:line="408" w:lineRule="exact"/>
        <w:ind w:left="0" w:right="0" w:firstLine="576"/>
        <w:jc w:val="left"/>
      </w:pPr>
      <w:r>
        <w:rPr>
          <w:u w:val="single"/>
        </w:rPr>
        <w:t xml:space="preserve">(b) When there is existing development inconsistent with rural character, publicly provided water, stormwater, and sanitary sewer services may be extended beyond the city and urban growth areas to meet the needs of the people living in communities outside of the city, as long as such an extension will not foster expended urban development that is not planned to be included within an urban growth area in the relevant comprehensive plans of the city or county. The city or county must make findings that the extension is feasible, cost-effective over a planning horizon of no more than 20 years, and environmentally beneficial. For the purposes of this section, "environmentally beneficial" means a determination, made after a quantified analysis of the expected environmental impacts of the proposed action is undertaken pursuant to chapter 43.21C RCW, that the action would mitigate current or projected environmental impacts or would provide defined benefits reflecting specific state or federal environmental policies or policies in the comprehensive plan of the jurisdiction</w:t>
      </w:r>
      <w:r>
        <w:rPr/>
        <w:t xml:space="preserve">.</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0" w:after="0" w:line="408" w:lineRule="exact"/>
        <w:ind w:left="0" w:right="0" w:firstLine="576"/>
        <w:jc w:val="left"/>
      </w:pPr>
      <w:r>
        <w:rPr>
          <w:u w:val="single"/>
        </w:rPr>
        <w:t xml:space="preserve">(10) The provision of water, sanitary sewage systems, and stormwater control facilities may be used to protect basic public health, safety, and the environment outside of city and urban growth area boundaries in accordance with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 (5)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0"/>
        <w:jc w:val="left"/>
      </w:pPr>
      <w:r>
        <w:rPr>
          <w:u w:val="single"/>
        </w:rPr>
        <w:t xml:space="preserve">A finding of noncompliance may not be based on the provision of water, sewer, or stormwater facilities or services extended outside of a city's boundaries when approved pursuant to RCW 36.70A.110(4), nor shall state funding be restricted or reduced for such a reason.</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forty-five days of the filing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if (i) the extension is through the installation of water mains of six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 </w:t>
      </w:r>
      <w:r>
        <w:t>((</w:t>
      </w:r>
      <w:r>
        <w:rPr>
          <w:strike/>
        </w:rPr>
        <w:t xml:space="preserve">or</w:t>
      </w:r>
      <w:r>
        <w:t>))</w:t>
      </w:r>
    </w:p>
    <w:p>
      <w:pPr>
        <w:spacing w:before="0" w:after="0" w:line="408" w:lineRule="exact"/>
        <w:ind w:left="0" w:right="0" w:firstLine="576"/>
        <w:jc w:val="left"/>
      </w:pPr>
      <w:r>
        <w:rPr/>
        <w:t xml:space="preserve">(c) The extension of permanent sewer service outside of its existing corporate boundaries by a city, town, or special purpose district if (i) the extension is through the installation of sewer mains of eight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 </w:t>
      </w:r>
      <w:r>
        <w:rPr>
          <w:u w:val="single"/>
        </w:rPr>
        <w:t xml:space="preserve">or</w:t>
      </w:r>
    </w:p>
    <w:p>
      <w:pPr>
        <w:spacing w:before="0" w:after="0" w:line="408" w:lineRule="exact"/>
        <w:ind w:left="0" w:right="0" w:firstLine="576"/>
        <w:jc w:val="left"/>
      </w:pPr>
      <w:r>
        <w:rPr>
          <w:u w:val="single"/>
        </w:rPr>
        <w:t xml:space="preserve">(d) The extension of permanent water service outside of its existing corporate boundaries by a city, town, or special purpose district when the extension is approved pursuant to RCW 36.70A.110(4) and is included in the most recent update of the comprehensive plan of any city extending such service, or of the county in which the properties that service is extended to are located;</w:t>
      </w:r>
    </w:p>
    <w:p>
      <w:pPr>
        <w:spacing w:before="0" w:after="0" w:line="408" w:lineRule="exact"/>
        <w:ind w:left="0" w:right="0" w:firstLine="576"/>
        <w:jc w:val="left"/>
      </w:pPr>
      <w:r>
        <w:rPr/>
        <w:t xml:space="preserve">(2) Any governmental unit affected, including the governmental unit for which the boundary change or extension of permanent water or sewer service is proposed,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forty-five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one hundred twenty days after the filing of such a request for review. If this period of one hundred twenty days shall elapse without the board making a finding as prescribed in RCW 36.93.150, the proposal shall be deemed approved unless the board and the person who submitted the proposal agree to an extension of the one hundred twenty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w:t>
      </w:r>
      <w:r>
        <w:rPr>
          <w:u w:val="single"/>
        </w:rPr>
        <w:t xml:space="preserve">The extension of permanent water or sewer services outside of its existing corporate boundaries by a city, town, or special purpose district when approved pursuant to RCW 36.70A.110(4);</w:t>
      </w:r>
    </w:p>
    <w:p>
      <w:pPr>
        <w:spacing w:before="0" w:after="0" w:line="408" w:lineRule="exact"/>
        <w:ind w:left="0" w:right="0" w:firstLine="576"/>
        <w:jc w:val="left"/>
      </w:pPr>
      <w:r>
        <w:rPr>
          <w:u w:val="single"/>
        </w:rPr>
        <w:t xml:space="preserve">(2)</w:t>
      </w:r>
      <w:r>
        <w:rPr/>
        <w:t xml:space="preserve"> Annexations of territory to a water-sewer district pursuant to RCW 36.94.410 through 36.94.440;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b05125ca59a4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8ff3aecc14f1e" /><Relationship Type="http://schemas.openxmlformats.org/officeDocument/2006/relationships/footer" Target="/word/footer1.xml" Id="Rb05125ca59a44e00" /></Relationships>
</file>