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8187a0df642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Cody, Schmick, Leavitt, Ryu, Graham, Taylor, Berry, Paul, Wicks, Springer, Sells, Bateman, Valdez, Davis, Eslick, Goodman, Klicker, Macri, Ramos, Simmons, Wylie, Callan, Sullivan, Chopp, Slatter, Tharinger, Thai, Pollet, Riccelli, Ormsby, Caldier, Kloba, and Frame; by request of Insurance Commissioner)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the volume and percentage of claims that are provided by participating compared to nonparticipating providers. To the extent that data related to self-funded group health plans is available within funds appropriated for this purpose, the analysis may include such data. The first analysis shall compare 2019 claims data to the most recent full year's claims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r>
        <w:t>))</w:t>
      </w:r>
    </w:p>
    <w:p>
      <w:pPr>
        <w:spacing w:before="0" w:after="0" w:line="408" w:lineRule="exact"/>
        <w:ind w:left="0" w:right="0" w:firstLine="576"/>
        <w:jc w:val="left"/>
      </w:pPr>
      <w:r>
        <w:rPr/>
        <w:t xml:space="preserve">(a)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rPr/>
        <w:t xml:space="preserve">(b) </w:t>
      </w:r>
      <w:r>
        <w:t>((</w:t>
      </w:r>
      <w:r>
        <w:rPr>
          <w:strike/>
        </w:rPr>
        <w:t xml:space="preserve">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r>
        <w:t>))</w:t>
      </w:r>
      <w:r>
        <w:rPr/>
        <w:t xml:space="preserve"> </w:t>
      </w:r>
      <w:r>
        <w:rPr>
          <w:u w:val="single"/>
        </w:rPr>
        <w:t xml:space="preserve">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48 hours of stabilization, if the covered person needs to be stabilized. If a health carrier requires such notification, the health carrier shall provide access to an authorized representative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July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July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July 1, 2023, or a later date determined by the commissioner, services described in RCW 48.49.020(1) other than air ambulance services are subject to the independent dispute resolution process established in sections 2799A-1 and 2799A-2 of the public health service act (42 U.S.C. Secs. 300gg-111 and 300gg-112) and implementing federal regulations in effect on </w:t>
      </w:r>
      <w:r>
        <w:rPr>
          <w:u w:val="single"/>
        </w:rPr>
        <w:t xml:space="preserve">July 1, 2023, or a later date determined by the commissioner. Until July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July 1, 2023, or a later date determined by the commissioner, services described in RCW 48.49.020(3) are subject to the independent dispute resolution process established in section 2799A-1 and 2799A-2 of the public health service act (42 U.S.C. Secs. 300gg-111 and 300gg-112) and implementing federal regulations in effect on July 1, 2023, or a later date determined by the commissioner. Until July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Services for which dispute resolution is approved under RCW 48.49.150(2) (as recodified by this act) are subject to the arbitration process described in this section, and not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 Air ambulance services are subject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(16)</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w:t>
      </w:r>
      <w:r>
        <w:rPr>
          <w:u w:val="single"/>
        </w:rPr>
        <w:t xml:space="preserve">whether</w:t>
      </w:r>
      <w:r>
        <w:rPr/>
        <w:t xml:space="preserve"> governed by </w:t>
      </w:r>
      <w:r>
        <w:rPr>
          <w:u w:val="single"/>
        </w:rPr>
        <w:t xml:space="preserve">or exempt from</w:t>
      </w:r>
      <w:r>
        <w:rPr/>
        <w:t xml:space="preserve">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w:t>
      </w:r>
      <w:r>
        <w:t>((</w:t>
      </w:r>
      <w:r>
        <w:rPr>
          <w:strike/>
        </w:rPr>
        <w:t xml:space="preserve">consider whether</w:t>
      </w:r>
      <w:r>
        <w:t>))</w:t>
      </w:r>
      <w:r>
        <w:rPr/>
        <w:t xml:space="preserve"> </w:t>
      </w:r>
      <w:r>
        <w:rPr>
          <w:u w:val="single"/>
        </w:rPr>
        <w:t xml:space="preserve">review</w:t>
      </w:r>
      <w:r>
        <w:rPr/>
        <w:t xml:space="preserve"> the carrier's proposed provider network or in-force provider network </w:t>
      </w:r>
      <w:r>
        <w:rPr>
          <w:u w:val="single"/>
        </w:rPr>
        <w:t xml:space="preserve">to determine whether the network</w:t>
      </w:r>
      <w:r>
        <w:rPr/>
        <w:t xml:space="preserve">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(2)(a) When determining the adequacy of a proposed provider network or the ongoing adequacy of an in-force provider network, the commissioner may allow a carrier to submit an alternate access delivery request. The commissioner shall define the circumstances under which a carrier may submit an alternate access delivery request and the requirements for submission and approval of such a request in rule. To submit an alternate access delivery request, a carrier shall:</w:t>
      </w:r>
    </w:p>
    <w:p>
      <w:pPr>
        <w:spacing w:before="0" w:after="0" w:line="408" w:lineRule="exact"/>
        <w:ind w:left="0" w:right="0" w:firstLine="576"/>
        <w:jc w:val="left"/>
      </w:pPr>
      <w:r>
        <w:rPr>
          <w:u w:val="single"/>
        </w:rPr>
        <w:t xml:space="preserve">(i) Ensure that enrollees will not bear any greater cost of receiving services under the alternate access delivery request than if the provider or facility was contracted with the carrier or make other
arrangements acceptable to the commissioner;</w:t>
      </w:r>
    </w:p>
    <w:p>
      <w:pPr>
        <w:spacing w:before="0" w:after="0" w:line="408" w:lineRule="exact"/>
        <w:ind w:left="0" w:right="0" w:firstLine="576"/>
        <w:jc w:val="left"/>
      </w:pPr>
      <w:r>
        <w:rPr>
          <w:u w:val="single"/>
        </w:rPr>
        <w:t xml:space="preserve">(ii) Provide substantial evidence of good faith efforts on its part to contract with providers or facilities; and</w:t>
      </w:r>
    </w:p>
    <w:p>
      <w:pPr>
        <w:spacing w:before="0" w:after="0" w:line="408" w:lineRule="exact"/>
        <w:ind w:left="0" w:right="0" w:firstLine="576"/>
        <w:jc w:val="left"/>
      </w:pPr>
      <w:r>
        <w:rPr>
          <w:u w:val="single"/>
        </w:rPr>
        <w:t xml:space="preserve">(iii) Demonstrate that there is not an available provider or facility with which the carrier can contract to meet the commissioner's provider network standards.</w:t>
      </w:r>
    </w:p>
    <w:p>
      <w:pPr>
        <w:spacing w:before="0" w:after="0" w:line="408" w:lineRule="exact"/>
        <w:ind w:left="0" w:right="0" w:firstLine="576"/>
        <w:jc w:val="left"/>
      </w:pPr>
      <w:r>
        <w:rPr>
          <w:u w:val="single"/>
        </w:rPr>
        <w:t xml:space="preserve">(b) For services for which balance billing is prohibited under RCW 48.49.020, a carrier may not treat its payment of nonparticipating providers or facilities under this chapter or P.L. 116-260 (enacted December 27, 2020) as a means to satisfy network access standards established by the commissioner unless approved by the commissioner as provided in this subsection. The commissioner may approve and determine the associated process for a carrier to use the offer of payment and dispute resolution process provided in section 9 of this act and RCW 48.49.040 to determine the amount that will be paid to providers or facilities for services referenced in the alternate access delivery request, provided that the associated process adopted by the commissioner requires that carriers provide documentation of good faith efforts to contract for the delivery of services.</w:t>
      </w:r>
    </w:p>
    <w:p>
      <w:pPr>
        <w:spacing w:before="0" w:after="0" w:line="408" w:lineRule="exact"/>
        <w:ind w:left="0" w:right="0" w:firstLine="576"/>
        <w:jc w:val="left"/>
      </w:pPr>
      <w:r>
        <w:rPr>
          <w:u w:val="single"/>
        </w:rPr>
        <w:t xml:space="preserve">(3) When determining the adequacy of a carrier's proposed provider network or the ongoing adequacy of an in-force provider network, beginning January 1, 2023, the commissioner shall require that the carrier's proposed provider network or in-force provider network include a sufficient number of contracted behavioral health emergency services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a report and any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report and any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service agencies, and local governmental entities that operate ground ambulance services, and include their perspectives in the final report.</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0617e077e3f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d7ce685ad54890" /><Relationship Type="http://schemas.openxmlformats.org/officeDocument/2006/relationships/footer" Target="/word/footer1.xml" Id="Re0617e077e3f40fd" /></Relationships>
</file>