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72bd343ecf46c3" /></Relationships>
</file>

<file path=word/document.xml><?xml version="1.0" encoding="utf-8"?>
<w:document xmlns:w="http://schemas.openxmlformats.org/wordprocessingml/2006/main">
  <w:body>
    <w:p>
      <w:r>
        <w:t>H-1826.1</w:t>
      </w:r>
    </w:p>
    <w:p>
      <w:pPr>
        <w:jc w:val="center"/>
      </w:pPr>
      <w:r>
        <w:t>_______________________________________________</w:t>
      </w:r>
    </w:p>
    <w:p/>
    <w:p>
      <w:pPr>
        <w:jc w:val="center"/>
      </w:pPr>
      <w:r>
        <w:rPr>
          <w:b/>
        </w:rPr>
        <w:t>HOUSE BILL 1699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Bergquist, Volz, Ryu, Leavitt, Chase, Robertson, Graham, Springer, Sells, Valdez, Dolan, Paul, Callan, Gilday, Goodman, Taylor, Macri, Ramos, Santos, Pollet, Griffey, Riccelli, Frame, and Kloba</w:t>
      </w:r>
    </w:p>
    <w:p/>
    <w:p>
      <w:r>
        <w:rPr>
          <w:t xml:space="preserve">Prefiled 12/23/21.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individuals retired from the public employees retirement system, the teachers retirement system, and the school employees retirement system additional opportunities to work for a school district for up to 1,040 hours per school year while in receipt of pension benefits until July 1, 2025; amending RCW 41.32.570, 41.32.802, 41.32.862, 41.35.060, and 41.40.037; and repealing RCW 41.35.065 and 41.32.068.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570</w:t>
      </w:r>
      <w:r>
        <w:rPr/>
        <w:t xml:space="preserve"> and 2011 1st sp.s. c 47 s 10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monthly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Any retired teacher or retired administrator who enters service in any public educational institution in Washington state at least one calendar month after his or her accrual date shall cease to receive pension payments while engaged in such service, after the retiree has rendered service for more than eight hundred sixty-seven hours in a school year.</w:t>
      </w:r>
    </w:p>
    <w:p>
      <w:pPr>
        <w:spacing w:before="0" w:after="0" w:line="408" w:lineRule="exact"/>
        <w:ind w:left="0" w:right="0" w:firstLine="576"/>
        <w:jc w:val="left"/>
      </w:pPr>
      <w:r>
        <w:rPr>
          <w:u w:val="single"/>
        </w:rPr>
        <w:t xml:space="preserve">(b) Between the effective date of this section and July 1, 2025, a retiree who reenters employment more than one calendar month after his or her accrual date, and who enters service in a school district in a nonadministrative position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t xml:space="preserve">(3)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(4) The legislature reserves the right to amend or repeal this section in the future and no member or beneficiary has a contractual right to be employed for more than five hundred twenty-five hours per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2011 1st sp.s. c 47 s 12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or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 Between the effective date of this section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2011 1st sp.s. c 47 s 14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or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 Between the effective date of this section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2011 1st sp.s. c 47 s 15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in the school employees' retirement system plan 2 or plan 3 who has retired under the alternate early retirement provisions of RCW 41.35.420(3)(b) or 41.35.680(3)(b)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u w:val="single"/>
        </w:rPr>
        <w:t xml:space="preserve">(c) Between the effective date of this section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35</w:t>
      </w:r>
      <w:r>
        <w:rPr/>
        <w:t xml:space="preserve">.</w:t>
      </w:r>
      <w:r>
        <w:t xml:space="preserve">065</w:t>
      </w:r>
      <w:r>
        <w:rPr/>
        <w:t xml:space="preserve"> (Postretirement employment options) and 2019 c 295 s 308; and</w:t>
      </w:r>
    </w:p>
    <w:p>
      <w:pPr>
        <w:spacing w:before="0" w:after="0" w:line="408" w:lineRule="exact"/>
        <w:ind w:left="0" w:right="0" w:firstLine="576"/>
        <w:jc w:val="left"/>
      </w:pPr>
      <w:r>
        <w:t>(2)</w:t>
      </w:r>
      <w:r>
        <w:rPr/>
        <w:t xml:space="preserve">RCW </w:t>
      </w:r>
      <w:r>
        <w:t xml:space="preserve">41</w:t>
      </w:r>
      <w:r>
        <w:rPr/>
        <w:t xml:space="preserve">.</w:t>
      </w:r>
      <w:r>
        <w:t xml:space="preserve">32</w:t>
      </w:r>
      <w:r>
        <w:rPr/>
        <w:t xml:space="preserve">.</w:t>
      </w:r>
      <w:r>
        <w:t xml:space="preserve">068</w:t>
      </w:r>
      <w:r>
        <w:rPr/>
        <w:t xml:space="preserve"> (Postretirement employment options) and 2019 c 295 s 307 &amp; 2016 c 233 s 7.</w:t>
      </w:r>
    </w:p>
    <w:p/>
    <w:p>
      <w:pPr>
        <w:jc w:val="center"/>
      </w:pPr>
      <w:r>
        <w:rPr>
          <w:b/>
        </w:rPr>
        <w:t>--- END ---</w:t>
      </w:r>
    </w:p>
    <w:sectPr>
      <w:pgNumType w:start="1"/>
      <w:footerReference xmlns:r="http://schemas.openxmlformats.org/officeDocument/2006/relationships" r:id="R03fb722af94241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b6987aebc4095" /><Relationship Type="http://schemas.openxmlformats.org/officeDocument/2006/relationships/footer" Target="/word/footer1.xml" Id="R03fb722af94241e1" /></Relationships>
</file>