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b1363a5e549ee" /></Relationships>
</file>

<file path=word/document.xml><?xml version="1.0" encoding="utf-8"?>
<w:document xmlns:w="http://schemas.openxmlformats.org/wordprocessingml/2006/main">
  <w:body>
    <w:p>
      <w:r>
        <w:t>H-2165.1</w:t>
      </w:r>
    </w:p>
    <w:p>
      <w:pPr>
        <w:jc w:val="center"/>
      </w:pPr>
      <w:r>
        <w:t>_______________________________________________</w:t>
      </w:r>
    </w:p>
    <w:p/>
    <w:p>
      <w:pPr>
        <w:jc w:val="center"/>
      </w:pPr>
      <w:r>
        <w:rPr>
          <w:b/>
        </w:rPr>
        <w:t>SUBSTITUTE HOUSE BILL 1733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Macri, J. Johnson, Leavitt, Bronoske, Chapman, Senn, Berry, Cody, Dolan, Fey, Peterson, Ryu, Santos, Shewmake, Wylie, Simmons, Callan, Chopp, Slatter, Ramos, Bergquist, Tharinger, Valdez, Thai, Pollet, Morgan, Taylor, Stonier, Ortiz-Self, Gregerson, Riccelli, Davis,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voluntary exemptions to the long-term services and supports trust program for certain populations identified in the long-term services and supports trust commission's 2022 recommendations report, specifically including exemptions only for veterans with a service-connected disability of 70 percent or higher, the spouses or domestic partners of active duty service members, persons residing outside of Washington while working in Washington, and persons working in the United States under a temporary, nonimmigrant work visa; amending RCW 50B.04.080 and 50B.04.050;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An employee who holds a nonimmigrant visa for temporary workers, as recognized by federal law, and is employed by an employer in Washington; and</w:t>
      </w:r>
    </w:p>
    <w:p>
      <w:pPr>
        <w:spacing w:before="0" w:after="0" w:line="408" w:lineRule="exact"/>
        <w:ind w:left="0" w:right="0" w:firstLine="576"/>
        <w:jc w:val="left"/>
      </w:pPr>
      <w:r>
        <w:rPr/>
        <w:t xml:space="preserve">(d) An employee who is employed by an employer in Washington, but maintains a permanent address outside of Washington as the employee's primary location of residence.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 (5), or (6)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Within 90 days of the occurrence of either of the events in (a) of this subsection,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either of the events in (a) of this subsection;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the occurrence of either of the events in (a) of this subsection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establishing a permanent address within Washington as the employee's primary location of residence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(7) Exempt employees are not entitled to a refund of any premium deductions made before the effective date of an approved exemption, except for premiums collected prior to the effective date of the premium assessment under RCW 50B.04.080.</w:t>
      </w:r>
    </w:p>
    <w:p>
      <w:pPr>
        <w:spacing w:before="0" w:after="0" w:line="408" w:lineRule="exact"/>
        <w:ind w:left="0" w:right="0" w:firstLine="576"/>
        <w:jc w:val="left"/>
      </w:pPr>
      <w:r>
        <w:rPr/>
        <w:t xml:space="preserve">(8)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rPr/>
        <w:t xml:space="preserve">(9) If an exempt employee fails to notify an employer of an exemption, the exempt employee is not entitled to a refund of any premium deductions made before notification is provided, except for premiums collected prior to the effective date of the premium assessment under RCW 50B.04.080.</w:t>
      </w:r>
    </w:p>
    <w:p>
      <w:pPr>
        <w:spacing w:before="0" w:after="0" w:line="408" w:lineRule="exact"/>
        <w:ind w:left="0" w:right="0" w:firstLine="576"/>
        <w:jc w:val="left"/>
      </w:pPr>
      <w:r>
        <w:rPr/>
        <w:t xml:space="preserve">(10)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(11) The provisions of RCW 50B.04.085 do not apply to the exemptions issued pursuant to this section.</w:t>
      </w:r>
    </w:p>
    <w:p>
      <w:pPr>
        <w:spacing w:before="0" w:after="0" w:line="408" w:lineRule="exact"/>
        <w:ind w:left="0" w:right="0" w:firstLine="576"/>
        <w:jc w:val="left"/>
      </w:pPr>
      <w:r>
        <w:rPr/>
        <w:t xml:space="preserve">(12) The employment security department shall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r>
        <w:rPr>
          <w:u w:val="single"/>
        </w:rPr>
        <w:t xml:space="preserve">, unless the employee's exemption was discontinued under section 2 of this act</w:t>
      </w:r>
      <w:r>
        <w:rPr/>
        <w:t xml:space="preserve">.</w:t>
      </w:r>
    </w:p>
    <w:p/>
    <w:p>
      <w:pPr>
        <w:jc w:val="center"/>
      </w:pPr>
      <w:r>
        <w:rPr>
          <w:b/>
        </w:rPr>
        <w:t>--- END ---</w:t>
      </w:r>
    </w:p>
    <w:sectPr>
      <w:pgNumType w:start="1"/>
      <w:footerReference xmlns:r="http://schemas.openxmlformats.org/officeDocument/2006/relationships" r:id="R7083ed0c398c40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a6dd35368c4cff" /><Relationship Type="http://schemas.openxmlformats.org/officeDocument/2006/relationships/footer" Target="/word/footer1.xml" Id="R7083ed0c398c4048" /></Relationships>
</file>