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18dd0546994a01" /></Relationships>
</file>

<file path=word/document.xml><?xml version="1.0" encoding="utf-8"?>
<w:document xmlns:w="http://schemas.openxmlformats.org/wordprocessingml/2006/main">
  <w:body>
    <w:p>
      <w:r>
        <w:t>H-1720.3</w:t>
      </w:r>
    </w:p>
    <w:p>
      <w:pPr>
        <w:jc w:val="center"/>
      </w:pPr>
      <w:r>
        <w:t>_______________________________________________</w:t>
      </w:r>
    </w:p>
    <w:p/>
    <w:p>
      <w:pPr>
        <w:jc w:val="center"/>
      </w:pPr>
      <w:r>
        <w:rPr>
          <w:b/>
        </w:rPr>
        <w:t>HOUSE BILL 1747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Ortiz-Self, Taylor, Davis, Peterson, Ryu, Orwall, Dolan, Simmons, Ramos, Wicks, Valdez, Fitzgibbon, Morgan, Stonier, Goodman, Ormsby, Macri, Harris-Talley, and Frame</w:t>
      </w:r>
    </w:p>
    <w:p/>
    <w:p>
      <w:r>
        <w:rPr>
          <w:t xml:space="preserve">Prefiled 01/04/22.</w:t>
        </w:rPr>
      </w:r>
      <w:r>
        <w:rPr>
          <w:t xml:space="preserve">Read first time 01/10/22.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relative placements in child welfare proceedings; and amending RCW 13.34.145, 13.34.180, 13.34.210, and 74.13.062.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2020 c 312 s 118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w:t>
      </w:r>
      <w:r>
        <w:t>((</w:t>
      </w:r>
      <w:r>
        <w:rPr>
          <w:strike/>
        </w:rPr>
        <w:t xml:space="preserve">or</w:t>
      </w:r>
      <w:r>
        <w:t>))</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r>
        <w:rPr>
          <w:u w:val="single"/>
        </w:rPr>
        <w:t xml:space="preserve">; or</w:t>
      </w:r>
    </w:p>
    <w:p>
      <w:pPr>
        <w:spacing w:before="0" w:after="0" w:line="408" w:lineRule="exact"/>
        <w:ind w:left="0" w:right="0" w:firstLine="576"/>
        <w:jc w:val="left"/>
      </w:pPr>
      <w:r>
        <w:rPr>
          <w:u w:val="single"/>
        </w:rPr>
        <w:t xml:space="preserve">(vii) The department has not yet met with the caregiver for the child to discuss guardianship as an alternative to adoption or the court has determined that guardianship is an appropriate permanent plan</w:t>
      </w:r>
      <w:r>
        <w:rPr/>
        <w:t xml:space="preserv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w:t>
      </w:r>
      <w:r>
        <w:t>((</w:t>
      </w:r>
      <w:r>
        <w:rPr>
          <w:strike/>
        </w:rPr>
        <w:t xml:space="preserve">If the department is recommending a placement other than the child's current placement with a foster parent, relative, or other suitable person, enter a finding as to the reasons for the recommendation for a change in placement.</w:t>
      </w:r>
      <w:r>
        <w:t>))</w:t>
      </w:r>
      <w:r>
        <w:rPr/>
        <w:t xml:space="preserve"> </w:t>
      </w:r>
      <w:r>
        <w:rPr>
          <w:u w:val="single"/>
        </w:rPr>
        <w:t xml:space="preserve">Instruct the department to discuss guardianship as a permanent option for the child with the child's parents and caregiver as an alternative to termination of parental rights and adoption. No child who is placed with a relative or other suitable person may be moved, unless, pursuant to the criteria established in RCW 13.34.130, the court finds that a change in circumstances necessitates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w:t>
      </w:r>
      <w:r>
        <w:t>((</w:t>
      </w:r>
      <w:r>
        <w:rPr>
          <w:strike/>
        </w:rPr>
        <w:t xml:space="preserve">a petition for termination of parental rights or</w:t>
      </w:r>
      <w:r>
        <w:t>))</w:t>
      </w:r>
      <w:r>
        <w:rPr/>
        <w:t xml:space="preserve"> a guardianship petition at any time following the establishment of dependency. </w:t>
      </w:r>
      <w:r>
        <w:t>((</w:t>
      </w:r>
      <w:r>
        <w:rPr>
          <w:strike/>
        </w:rPr>
        <w:t xml:space="preserve">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r>
        <w:t>))</w:t>
      </w:r>
      <w:r>
        <w:rPr/>
        <w:t xml:space="preserve"> </w:t>
      </w:r>
      <w:r>
        <w:rPr>
          <w:u w:val="single"/>
        </w:rPr>
        <w:t xml:space="preserve">The department shall not file a petition for termination of parental rights when the court has entered a finding of good cause that a termination of parental rights petition is not appropriate under subsection (5) of this section.</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2018 c 284 s 20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w:t>
      </w:r>
      <w:r>
        <w:rPr>
          <w:u w:val="single"/>
        </w:rPr>
        <w:t xml:space="preserve">The petitioner must demonstrate that a guardianship is not sufficient to protect the health, safety, and welfare of the child.</w:t>
      </w:r>
      <w:r>
        <w:rPr/>
        <w:t xml:space="preserve"> If the parent is incarcerated, the court shall consider whether a parent maintains a meaningful role in his or her child's life based on factors identified in RCW 13.34.145(5)(b); whether the department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0"/>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2020 c 312 s 120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w:t>
      </w:r>
      <w:r>
        <w:t>((</w:t>
      </w:r>
      <w:r>
        <w:rPr>
          <w:strike/>
        </w:rPr>
        <w:t xml:space="preserve">for the purpose of placing the child for adoption. If an adoptive home has not been identified, the department shall place the child in a licensed foster home, or take other suitable measures for the care and welfare of the child</w:t>
      </w:r>
      <w:r>
        <w:t>))</w:t>
      </w:r>
      <w:r>
        <w:rPr/>
        <w:t xml:space="preserve"> </w:t>
      </w:r>
      <w:r>
        <w:rPr>
          <w:u w:val="single"/>
        </w:rPr>
        <w:t xml:space="preserve">of the child to take further action consistent with this chapter</w:t>
      </w:r>
      <w:r>
        <w:rPr/>
        <w:t xml:space="preserve">.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a guardianship of a minor under RCW 11.130.215 has not been entered by the court, the court shall review the case every six months until a decree of adoption is entered. The department shall take reasonable steps to ensure that the child maintains relationships with siblings as provided in RCW 13.34.130(7)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2017 3rd sp.s. c 6 s 404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 </w:t>
      </w:r>
      <w:r>
        <w:rPr>
          <w:u w:val="single"/>
        </w:rPr>
        <w:t xml:space="preserve">or as a guardian of a minor under RCW 11.130.215</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
      <w:pPr>
        <w:jc w:val="center"/>
      </w:pPr>
      <w:r>
        <w:rPr>
          <w:b/>
        </w:rPr>
        <w:t>--- END ---</w:t>
      </w:r>
    </w:p>
    <w:sectPr>
      <w:pgNumType w:start="1"/>
      <w:footerReference xmlns:r="http://schemas.openxmlformats.org/officeDocument/2006/relationships" r:id="Rde967efdb52243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6a34d453f940af" /><Relationship Type="http://schemas.openxmlformats.org/officeDocument/2006/relationships/footer" Target="/word/footer1.xml" Id="Rde967efdb52243f1" /></Relationships>
</file>