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8f510f70241d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Berg, J. Johnson, Valdez, Fey, Ramel, Santos, Sullivan, Slatter, Bergquist, Pollet, Stonier, Ormsby, and Taylor)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reenacting and amending RCW 28A.600.310; adding new sections to chapter 28A.600 RCW; creating a new section; and repealing RCW 28A.630.600.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each public school that serves students in any of grades nine through 12 must provide all students and their parents or legal guardians with: Information about each available dual credit program and any financial assistance available to reduce dual credit course costs for students and their families, including fee waivers for running start program courses under RCW 28A.600.310.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A public school may consolidate the notification required under subsection (1) of this section with the notifications required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1.6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courses under RCW 28A.600.310(1)(b),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Student eligibility for the running start program is provided in this subsection (1).</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r>
        <w:t>))</w:t>
      </w:r>
      <w:r>
        <w:rPr/>
        <w:t xml:space="preserve"> </w:t>
      </w:r>
      <w:r>
        <w:rPr>
          <w:u w:val="single"/>
        </w:rPr>
        <w:t xml:space="preserve">High school graduates who have 15 or fewer college credits to earn before meeting associate degree requirements may continue participation in the running start program and earn up to 15 college credits during the summer academic term following their high school graduation</w:t>
      </w:r>
      <w:r>
        <w:rPr/>
        <w:t xml:space="preserve">.</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w:t>
      </w:r>
      <w:r>
        <w:t>((</w:t>
      </w:r>
      <w:r>
        <w:rPr>
          <w:strike/>
        </w:rPr>
        <w:t xml:space="preserve">However, students are eligible to</w:t>
      </w:r>
      <w:r>
        <w:t>))</w:t>
      </w:r>
    </w:p>
    <w:p>
      <w:pPr>
        <w:spacing w:before="0" w:after="0" w:line="408" w:lineRule="exact"/>
        <w:ind w:left="0" w:right="0" w:firstLine="576"/>
        <w:jc w:val="left"/>
      </w:pPr>
      <w:r>
        <w:rPr>
          <w:u w:val="single"/>
        </w:rPr>
        <w:t xml:space="preserve">(2) Students may</w:t>
      </w:r>
      <w:r>
        <w:rPr/>
        <w:t xml:space="preserve"> enroll in courses or programs in participating universities only if the board of directors of the student's school district has decided to participate in the </w:t>
      </w:r>
      <w:r>
        <w:rPr>
          <w:u w:val="single"/>
        </w:rPr>
        <w:t xml:space="preserve">running start</w:t>
      </w:r>
      <w:r>
        <w:rPr/>
        <w:t xml:space="preserve"> program.</w:t>
      </w:r>
    </w:p>
    <w:p>
      <w:pPr>
        <w:spacing w:before="0" w:after="0" w:line="408" w:lineRule="exact"/>
        <w:ind w:left="0" w:right="0" w:firstLine="576"/>
        <w:jc w:val="left"/>
      </w:pPr>
      <w:r>
        <w:rPr>
          <w:u w:val="single"/>
        </w:rPr>
        <w:t xml:space="preserve">(3)</w:t>
      </w:r>
      <w:r>
        <w:rPr/>
        <w:t xml:space="preserve"> Participating institutions of higher education, in consultation with school districts, may establish admission standards for these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(5)</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(5)</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(5)</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courses under subsection (1)(b) of this section,</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600</w:t>
      </w:r>
      <w:r>
        <w:rPr/>
        <w:t xml:space="preserve"> (Running start summer school pilot program) and 2020 c 348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4ab4c1da03d42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3a5d839d54026" /><Relationship Type="http://schemas.openxmlformats.org/officeDocument/2006/relationships/footer" Target="/word/footer1.xml" Id="Rc4ab4c1da03d4284" /></Relationships>
</file>