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b5374242b4ca0" /></Relationships>
</file>

<file path=word/document.xml><?xml version="1.0" encoding="utf-8"?>
<w:document xmlns:w="http://schemas.openxmlformats.org/wordprocessingml/2006/main">
  <w:body>
    <w:p>
      <w:r>
        <w:t>H-1982.1</w:t>
      </w:r>
    </w:p>
    <w:p>
      <w:pPr>
        <w:jc w:val="center"/>
      </w:pPr>
      <w:r>
        <w:t>_______________________________________________</w:t>
      </w:r>
    </w:p>
    <w:p/>
    <w:p>
      <w:pPr>
        <w:jc w:val="center"/>
      </w:pPr>
      <w:r>
        <w:rPr>
          <w:b/>
        </w:rPr>
        <w:t>HOUSE BILL 1773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Taylor, Davis, Leavitt, Callan, Cody, Macri, Ormsby, and Harris-Talley</w:t>
      </w:r>
    </w:p>
    <w:p/>
    <w:p>
      <w:r>
        <w:rPr>
          <w:t xml:space="preserve">Prefiled 01/05/22.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for persons with behavioral health disorders; amending RCW 71.05.148, 71.05.150, 71.05.150, 71.05.156, 71.05.212, 71.05.230, 71.05.240, 71.05.240, 71.05.245, 71.05.280, 71.05.365, 71.05.585, 10.77.175, 71.05.590, 71.05.590, 71.05.595, and 71.24.045; reenacting and amending RCW 71.05.020, 71.05.020, 71.05.201, 71.05.212, 71.05.320, 71.05.320, and 71.29.045; reenacting and amending 2021 c 264 s 24 and 2021 c 263 s 21 (uncodified); adding a new section to chapter 71.34 RCW;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a preponderance of the evidence in response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in that at least one of the following is true:</w:t>
      </w:r>
    </w:p>
    <w:p>
      <w:pPr>
        <w:spacing w:before="0" w:after="0" w:line="408" w:lineRule="exact"/>
        <w:ind w:left="0" w:right="0" w:firstLine="576"/>
        <w:jc w:val="left"/>
      </w:pPr>
      <w:r>
        <w:rPr>
          <w:u w:val="single"/>
        </w:rPr>
        <w:t xml:space="preserve">(i) The person's behavioral health disorder has, at least twice within the last 36 months, been a substantial factor in necessitating hospitalization, or receipt of services in a forensic or other mental health unit of a state correctional facility or local correctional facility, not including any period during which the person was hospitalized or incarcerated immediately preceding the filing of the petition;</w:t>
      </w:r>
    </w:p>
    <w:p>
      <w:pPr>
        <w:spacing w:before="0" w:after="0" w:line="408" w:lineRule="exact"/>
        <w:ind w:left="0" w:right="0" w:firstLine="576"/>
        <w:jc w:val="left"/>
      </w:pPr>
      <w:r>
        <w:rPr>
          <w:u w:val="single"/>
        </w:rPr>
        <w:t xml:space="preserve">(ii) The person's behavioral health disorder has, at least twice within the last 36 months, been a substantial factor in necessitating emergency medical care, a substantial factor necessitating hospitalization for behavioral health-related medical conditions including overdose, infected abscesses, sepsis, endocarditis, or other maladies, or a substantial factor in behavior which resulted in the person's incarceration in a state or local correctional facility; or</w:t>
      </w:r>
    </w:p>
    <w:p>
      <w:pPr>
        <w:spacing w:before="0" w:after="0" w:line="408" w:lineRule="exact"/>
        <w:ind w:left="0" w:right="0" w:firstLine="576"/>
        <w:jc w:val="left"/>
      </w:pPr>
      <w:r>
        <w:rPr>
          <w:u w:val="single"/>
        </w:rPr>
        <w:t xml:space="preserve">(iii) The person's behavioral health disorder has resulted in one or more violent acts, threats, or attempts to cause serious physical harm to themselves or another within the last 48 months, not including any period in which the person was hospitalized or incarcerated immediately preceding the filing of the petition;</w:t>
      </w:r>
    </w:p>
    <w:p>
      <w:pPr>
        <w:spacing w:before="0" w:after="0" w:line="408" w:lineRule="exact"/>
        <w:ind w:left="0" w:right="0" w:firstLine="576"/>
        <w:jc w:val="left"/>
      </w:pPr>
      <w:r>
        <w:rPr>
          <w:u w:val="single"/>
        </w:rPr>
        <w:t xml:space="preserve">(d) The person has been offered an opportunity to participate in a treatment plan, and the person continues to not engage in treatment;</w:t>
      </w:r>
    </w:p>
    <w:p>
      <w:pPr>
        <w:spacing w:before="0" w:after="0" w:line="408" w:lineRule="exact"/>
        <w:ind w:left="0" w:right="0" w:firstLine="576"/>
        <w:jc w:val="left"/>
      </w:pPr>
      <w:r>
        <w:rPr>
          <w:u w:val="single"/>
        </w:rPr>
        <w:t xml:space="preserve">(e)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(f)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which </w:t>
      </w:r>
      <w:r>
        <w:t>((</w:t>
      </w:r>
      <w:r>
        <w:rPr>
          <w:strike/>
        </w:rPr>
        <w:t xml:space="preserve">agreed</w:t>
      </w:r>
      <w:r>
        <w:t>))</w:t>
      </w:r>
      <w:r>
        <w:rPr/>
        <w:t xml:space="preserve"> </w:t>
      </w:r>
      <w:r>
        <w:rPr>
          <w:u w:val="single"/>
        </w:rPr>
        <w:t xml:space="preserve">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The petition must be served upon the </w:t>
      </w:r>
      <w:r>
        <w:t>((</w:t>
      </w:r>
      <w:r>
        <w:rPr>
          <w:strike/>
        </w:rPr>
        <w:t xml:space="preserve">person and the person's counsel with a notice of applicable rights</w:t>
      </w:r>
      <w:r>
        <w:t>))</w:t>
      </w:r>
      <w:r>
        <w:rPr/>
        <w:t xml:space="preserve"> </w:t>
      </w:r>
      <w:r>
        <w:rPr>
          <w:u w:val="single"/>
        </w:rPr>
        <w:t xml:space="preserve">prosecuting attorney for the county</w:t>
      </w:r>
      <w:r>
        <w:rPr/>
        <w:t xml:space="preserve">. Proof of service must be filed with the court. </w:t>
      </w:r>
      <w:r>
        <w:rPr>
          <w:u w:val="single"/>
        </w:rPr>
        <w:t xml:space="preserve">The prosecuting attorney shall review the petition. If appropriate, the prosecutor shall consult with the petitioner to conform the contents of the petition with the requirements of law. The prosecutor may decline to proceed with a petition which does not meet legal requirements. When appropriate, the prosecutor shall schedule the petition for a hearing and cause the petition, notice of rights, the name, business address, and telephone number of appointed counsel, and summons to appear to be served upon the person and their guardian, if any. Information about appointed counsel need not be provided if the prosecutor has knowledge that the person has retained counsel. Proof of service must be filed with the court and all papers in the court file must be provided to the person's designated attorney.</w:t>
      </w:r>
    </w:p>
    <w:p>
      <w:pPr>
        <w:spacing w:before="0" w:after="0" w:line="408" w:lineRule="exact"/>
        <w:ind w:left="0" w:right="0" w:firstLine="576"/>
        <w:jc w:val="left"/>
      </w:pPr>
      <w:r>
        <w:rPr>
          <w:u w:val="single"/>
        </w:rPr>
        <w:t xml:space="preserve">(7) If the petition involves a person whom the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a preponderance of the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in that at least one of the following is true:</w:t>
      </w:r>
    </w:p>
    <w:p>
      <w:pPr>
        <w:spacing w:before="0" w:after="0" w:line="408" w:lineRule="exact"/>
        <w:ind w:left="0" w:right="0" w:firstLine="576"/>
        <w:jc w:val="left"/>
      </w:pPr>
      <w:r>
        <w:rPr/>
        <w:t xml:space="preserve">(i) The adolescent's behavioral health disorder has, at least twice within the last 36 months, been a substantial factor in necessitating hospitalization, or receipt of services in a forensic or other mental health unit of a state correctional facility or local correctional facility, not including any period during which the adolescent was hospitalized or incarcerated immediately preceding the filing of the petition;</w:t>
      </w:r>
    </w:p>
    <w:p>
      <w:pPr>
        <w:spacing w:before="0" w:after="0" w:line="408" w:lineRule="exact"/>
        <w:ind w:left="0" w:right="0" w:firstLine="576"/>
        <w:jc w:val="left"/>
      </w:pPr>
      <w:r>
        <w:rPr/>
        <w:t xml:space="preserve">(ii) The person's behavioral health disorder has, at least twice within the last 36 months, been a substantial factor in necessitating emergency medical care, a substantial factor necessitating hospitalization for behavioral health-related medical conditions including overdose, infected abscesses, sepsis, endocarditis, or other maladies, or a substantial factor in behavior which resulted in the person's incarceration in a state or local correctional facility; or</w:t>
      </w:r>
    </w:p>
    <w:p>
      <w:pPr>
        <w:spacing w:before="0" w:after="0" w:line="408" w:lineRule="exact"/>
        <w:ind w:left="0" w:right="0" w:firstLine="576"/>
        <w:jc w:val="left"/>
      </w:pPr>
      <w:r>
        <w:rPr/>
        <w:t xml:space="preserve">(iii) The adolescent's behavioral health disorder has resulted in one or more violent acts, threats, or attempts to cause serious physical harm to themselves or another within the last 48 months, not including any period in which the adolescent was hospitalized or incarcerated immediately preceding the filing of the petition;</w:t>
      </w:r>
    </w:p>
    <w:p>
      <w:pPr>
        <w:spacing w:before="0" w:after="0" w:line="408" w:lineRule="exact"/>
        <w:ind w:left="0" w:right="0" w:firstLine="576"/>
        <w:jc w:val="left"/>
      </w:pPr>
      <w:r>
        <w:rPr/>
        <w:t xml:space="preserve">(d) The adolescent has been offered an opportunity to participate in a treatment plan, and the adolescent continues to not engage in treatment;</w:t>
      </w:r>
    </w:p>
    <w:p>
      <w:pPr>
        <w:spacing w:before="0" w:after="0" w:line="408" w:lineRule="exact"/>
        <w:ind w:left="0" w:right="0" w:firstLine="576"/>
        <w:jc w:val="left"/>
      </w:pPr>
      <w:r>
        <w:rPr/>
        <w:t xml:space="preserve">(e)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(f)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w:t>
      </w:r>
    </w:p>
    <w:p>
      <w:pPr>
        <w:spacing w:before="0" w:after="0" w:line="408" w:lineRule="exact"/>
        <w:ind w:left="0" w:right="0" w:firstLine="576"/>
        <w:jc w:val="left"/>
      </w:pPr>
      <w:r>
        <w:rPr/>
        <w:t xml:space="preserve">(b) The director of a behavioral health service provider providing behavioral health care or residential services to the adolescent;</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which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 The petition must be served upon the prosecuting attorney for the county. Proof of service must be filed with the court. The prosecuting attorney shall review the petition. If appropriate, the prosecutor shall consult with the petitioner to conform the contents of the petition with the requirements of law. The prosecutor may decline to proceed with a petition which does not meet legal requirements. When appropriate, the prosecutor shall schedule the petition for a hearing and cause the petition, notice of rights, the name, business address, and telephone number of appointed counsel, and summons to appear to be served upon the adolescent and their guardian, if any. Information about appointed counsel need not be provided if the prosecutor has knowledge that the adolescent has retained counsel. Proof of service must be filed with the court and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w:t>
      </w:r>
      <w:r>
        <w:t>((</w:t>
      </w:r>
      <w:r>
        <w:rPr>
          <w:strike/>
        </w:rPr>
        <w:t xml:space="preserve">either</w:t>
      </w:r>
      <w:r>
        <w:t>))</w:t>
      </w:r>
      <w:r>
        <w:rPr/>
        <w:t xml:space="preserve"> ninety days of less restrictive alternative treatment </w:t>
      </w:r>
      <w:r>
        <w:t>((</w:t>
      </w:r>
      <w:r>
        <w:rPr>
          <w:strike/>
        </w:rPr>
        <w:t xml:space="preserve">or ninety days of involuntary intensive treatment</w:t>
      </w:r>
      <w:r>
        <w:t>))</w:t>
      </w:r>
      <w:r>
        <w:rPr/>
        <w:t xml:space="preserve">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w:t>
      </w:r>
      <w:r>
        <w:t>((</w:t>
      </w:r>
      <w:r>
        <w:rPr>
          <w:strike/>
        </w:rPr>
        <w:t xml:space="preserve">or ninety-day</w:t>
      </w:r>
      <w:r>
        <w:t>))</w:t>
      </w:r>
      <w:r>
        <w:rPr>
          <w:u w:val="single"/>
        </w:rPr>
        <w:t xml:space="preserve">, 90-day</w:t>
      </w:r>
      <w:r>
        <w:rPr/>
        <w:t xml:space="preserve"> less restrictive treatment</w:t>
      </w:r>
      <w:r>
        <w:rPr>
          <w:u w:val="single"/>
        </w:rPr>
        <w:t xml:space="preserve">, or 18-month less restrictive treatment</w:t>
      </w:r>
      <w:r>
        <w:rPr/>
        <w:t xml:space="preserve">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w:t>
      </w:r>
      <w:r>
        <w:t>((</w:t>
      </w:r>
      <w:r>
        <w:rPr>
          <w:strike/>
        </w:rPr>
        <w:t xml:space="preserve">or ninety-day</w:t>
      </w:r>
      <w:r>
        <w:t>))</w:t>
      </w:r>
      <w:r>
        <w:rPr>
          <w:u w:val="single"/>
        </w:rPr>
        <w:t xml:space="preserve">, 90-day</w:t>
      </w:r>
      <w:r>
        <w:rPr/>
        <w:t xml:space="preserve"> less restrictive treatment</w:t>
      </w:r>
      <w:r>
        <w:rPr>
          <w:u w:val="single"/>
        </w:rPr>
        <w:t xml:space="preserve">, or 18-month less restrictive treatment</w:t>
      </w:r>
      <w:r>
        <w:rPr/>
        <w:t xml:space="preserve">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w:t>
      </w:r>
      <w:r>
        <w:t>((</w:t>
      </w:r>
      <w:r>
        <w:rPr>
          <w:strike/>
        </w:rPr>
        <w:t xml:space="preserve">person's</w:t>
      </w:r>
      <w:r>
        <w:t>))</w:t>
      </w:r>
      <w:r>
        <w:rPr/>
        <w:t xml:space="preserve"> </w:t>
      </w:r>
      <w:r>
        <w:rPr>
          <w:u w:val="single"/>
        </w:rPr>
        <w:t xml:space="preserve">person to continue</w:t>
      </w:r>
      <w:r>
        <w:rPr/>
        <w:t xml:space="preserve">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71.05.160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w:t>
      </w:r>
      <w:r>
        <w:t>((</w:t>
      </w:r>
      <w:r>
        <w:rPr>
          <w:strike/>
        </w:rPr>
        <w:t xml:space="preserve">person's</w:t>
      </w:r>
      <w:r>
        <w:t>))</w:t>
      </w:r>
      <w:r>
        <w:rPr/>
        <w:t xml:space="preserve"> </w:t>
      </w:r>
      <w:r>
        <w:rPr>
          <w:u w:val="single"/>
        </w:rPr>
        <w:t xml:space="preserve">person to continue</w:t>
      </w:r>
      <w:r>
        <w:rPr/>
        <w:t xml:space="preserve">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71.05.160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27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16, and 21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17, and 22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takes effect October 1, 2022.</w:t>
      </w:r>
    </w:p>
    <w:p/>
    <w:p>
      <w:pPr>
        <w:jc w:val="center"/>
      </w:pPr>
      <w:r>
        <w:rPr>
          <w:b/>
        </w:rPr>
        <w:t>--- END ---</w:t>
      </w:r>
    </w:p>
    <w:sectPr>
      <w:pgNumType w:start="1"/>
      <w:footerReference xmlns:r="http://schemas.openxmlformats.org/officeDocument/2006/relationships" r:id="R802c49daa9d240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374f77d254e40" /><Relationship Type="http://schemas.openxmlformats.org/officeDocument/2006/relationships/footer" Target="/word/footer1.xml" Id="R802c49daa9d240df" /></Relationships>
</file>