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dc95a9ccc94197" /></Relationships>
</file>

<file path=word/document.xml><?xml version="1.0" encoding="utf-8"?>
<w:document xmlns:w="http://schemas.openxmlformats.org/wordprocessingml/2006/main">
  <w:body>
    <w:p>
      <w:r>
        <w:t>H-1808.3</w:t>
      </w:r>
    </w:p>
    <w:p>
      <w:pPr>
        <w:jc w:val="center"/>
      </w:pPr>
      <w:r>
        <w:t>_______________________________________________</w:t>
      </w:r>
    </w:p>
    <w:p/>
    <w:p>
      <w:pPr>
        <w:jc w:val="center"/>
      </w:pPr>
      <w:r>
        <w:rPr>
          <w:b/>
        </w:rPr>
        <w:t>HOUSE BILL 1828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Sutherland, McEntire, Chase, McCaslin, and Young</w:t>
      </w:r>
    </w:p>
    <w:p/>
    <w:p>
      <w:r>
        <w:rPr>
          <w:t xml:space="preserve">Prefiled 01/06/22.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quick response codes on ballots; amending RCW 29A.36.111, 29A.40.091, and 29A.12.005;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111</w:t>
      </w:r>
      <w:r>
        <w:rPr/>
        <w:t xml:space="preserve"> and 2009 c 414 s 1 are each amended to read as follows:</w:t>
      </w:r>
    </w:p>
    <w:p>
      <w:pPr>
        <w:spacing w:before="0" w:after="0" w:line="408" w:lineRule="exact"/>
        <w:ind w:left="0" w:right="0" w:firstLine="576"/>
        <w:jc w:val="left"/>
      </w:pPr>
      <w:r>
        <w:rPr/>
        <w:t xml:space="preserve">(1) Every ballot for a single combination of issues, offices, and candidates shall be uniform within a precinct and shall identify the type of primary or election, the county, and the date of the primary or election, and the ballot or voting device shall contain instructions on the proper method of recording a vote, including write-in votes</w:t>
      </w:r>
      <w:r>
        <w:rPr>
          <w:u w:val="single"/>
        </w:rPr>
        <w:t xml:space="preserve">, and how to access the status and image of their voted ballot using the quick response code and access code provided in accordance with subsection (2) of this section</w:t>
      </w:r>
      <w:r>
        <w:rPr/>
        <w:t xml:space="preserve">. Each position, together with the names of the candidates for that office, shall be clearly separated from other offices or positions in the same jurisdiction. The offices in each jurisdiction shall be clearly separated from each other. No paper ballot or ballot card may be marked by or at the direction of an election official in any way that would permit the identification of the person who voted that ballot.</w:t>
      </w:r>
    </w:p>
    <w:p>
      <w:pPr>
        <w:spacing w:before="0" w:after="0" w:line="408" w:lineRule="exact"/>
        <w:ind w:left="0" w:right="0" w:firstLine="576"/>
        <w:jc w:val="left"/>
      </w:pPr>
      <w:r>
        <w:rPr/>
        <w:t xml:space="preserve">(2) </w:t>
      </w:r>
      <w:r>
        <w:rPr>
          <w:u w:val="single"/>
        </w:rPr>
        <w:t xml:space="preserve">Each ballot must contain two identical quick response codes, one located near the instructions required under subsection (1) of this section and one located on a portion of the ballot that can be physically separated without damaging or compromising the readability of the ballot and retained by the voter. The quick response code must be unique to the ballot and accompanied by an access code which the voter will use to access information about the voter's ballot. The quick response code must link to a website where the voter can, with the access code provided, view the image of their voted ballot and whether the ballot has been received and counted. The quick response code may not be linked to any personally identifiable information of a voter. A person who votes on a voting device must be provided with a quick response code and access code that allows the voter to access the image of their selections and whether their votes have been counted.</w:t>
      </w:r>
    </w:p>
    <w:p>
      <w:pPr>
        <w:spacing w:before="0" w:after="0" w:line="408" w:lineRule="exact"/>
        <w:ind w:left="0" w:right="0" w:firstLine="576"/>
        <w:jc w:val="left"/>
      </w:pPr>
      <w:r>
        <w:rPr>
          <w:u w:val="single"/>
        </w:rPr>
        <w:t xml:space="preserve">(3)</w:t>
      </w:r>
      <w:r>
        <w:rPr/>
        <w:t xml:space="preserve"> An </w:t>
      </w:r>
      <w:r>
        <w:t>((</w:t>
      </w:r>
      <w:r>
        <w:rPr>
          <w:strike/>
        </w:rPr>
        <w:t xml:space="preserve">elections [election]</w:t>
      </w:r>
      <w:r>
        <w:t>))</w:t>
      </w:r>
      <w:r>
        <w:rPr/>
        <w:t xml:space="preserve"> </w:t>
      </w:r>
      <w:r>
        <w:rPr>
          <w:u w:val="single"/>
        </w:rPr>
        <w:t xml:space="preserve">election</w:t>
      </w:r>
      <w:r>
        <w:rPr/>
        <w:t xml:space="preserve"> official may not enter into or extend any contract with a vendor if such contract may allow the vendor to acquire an ownership interest in any data pertaining to any voter, any voter's address, registration number, or history, or any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w:t>
      </w:r>
      <w:r>
        <w:t>((</w:t>
      </w:r>
      <w:r>
        <w:rPr>
          <w:strike/>
        </w:rPr>
        <w:t xml:space="preserve">and</w:t>
      </w:r>
      <w:r>
        <w:t>))</w:t>
      </w:r>
      <w:r>
        <w:rPr/>
        <w:t xml:space="preserve"> how to return the ballot to the county auditor</w:t>
      </w:r>
      <w:r>
        <w:rPr>
          <w:u w:val="single"/>
        </w:rPr>
        <w:t xml:space="preserve">, and how to access the status and image of their voted ballot using the quick response code and access code provided in accordance with section 1 of this act</w:t>
      </w:r>
      <w:r>
        <w:rPr/>
        <w:t xml:space="preserve">.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 </w:t>
      </w:r>
      <w:r>
        <w:rPr>
          <w:u w:val="single"/>
        </w:rPr>
        <w:t xml:space="preserve">Upon receipt of the ballot and throughout the canvassing process, the quick response code on each ballot must be scanned to provide the voter with information about whether the voter's ballot has been received and counted and an image of the voter's voted ballot.</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005</w:t>
      </w:r>
      <w:r>
        <w:rPr/>
        <w:t xml:space="preserve"> and 2018 c 218 s 5 are each amended to read as follows:</w:t>
      </w:r>
    </w:p>
    <w:p>
      <w:pPr>
        <w:spacing w:before="0" w:after="0" w:line="408" w:lineRule="exact"/>
        <w:ind w:left="0" w:right="0" w:firstLine="576"/>
        <w:jc w:val="left"/>
      </w:pPr>
      <w:r>
        <w:rPr/>
        <w:t xml:space="preserve">As used in this chapter, "voting system" means:</w:t>
      </w:r>
    </w:p>
    <w:p>
      <w:pPr>
        <w:spacing w:before="0" w:after="0" w:line="408" w:lineRule="exact"/>
        <w:ind w:left="0" w:right="0" w:firstLine="576"/>
        <w:jc w:val="left"/>
      </w:pPr>
      <w:r>
        <w:rPr/>
        <w:t xml:space="preserve">(1) The total combination of mechanical, electromechanical, or electronic equipment including, but not limited to, the software, firmware, and documentation required to program, control, and support the equipment, that is used:</w:t>
      </w:r>
    </w:p>
    <w:p>
      <w:pPr>
        <w:spacing w:before="0" w:after="0" w:line="408" w:lineRule="exact"/>
        <w:ind w:left="0" w:right="0" w:firstLine="576"/>
        <w:jc w:val="left"/>
      </w:pPr>
      <w:r>
        <w:rPr/>
        <w:t xml:space="preserve">(a) To define ballots;</w:t>
      </w:r>
    </w:p>
    <w:p>
      <w:pPr>
        <w:spacing w:before="0" w:after="0" w:line="408" w:lineRule="exact"/>
        <w:ind w:left="0" w:right="0" w:firstLine="576"/>
        <w:jc w:val="left"/>
      </w:pPr>
      <w:r>
        <w:rPr/>
        <w:t xml:space="preserve">(b) To cast and count votes;</w:t>
      </w:r>
    </w:p>
    <w:p>
      <w:pPr>
        <w:spacing w:before="0" w:after="0" w:line="408" w:lineRule="exact"/>
        <w:ind w:left="0" w:right="0" w:firstLine="576"/>
        <w:jc w:val="left"/>
      </w:pPr>
      <w:r>
        <w:rPr/>
        <w:t xml:space="preserve">(c) To report or display election results from the voting system;</w:t>
      </w:r>
    </w:p>
    <w:p>
      <w:pPr>
        <w:spacing w:before="0" w:after="0" w:line="408" w:lineRule="exact"/>
        <w:ind w:left="0" w:right="0" w:firstLine="576"/>
        <w:jc w:val="left"/>
      </w:pPr>
      <w:r>
        <w:rPr/>
        <w:t xml:space="preserve">(d) To maintain and produce any audit trail information; </w:t>
      </w:r>
      <w:r>
        <w:t>((</w:t>
      </w:r>
      <w:r>
        <w:rPr>
          <w:strike/>
        </w:rPr>
        <w:t xml:space="preserve">and</w:t>
      </w:r>
      <w:r>
        <w:t>))</w:t>
      </w:r>
    </w:p>
    <w:p>
      <w:pPr>
        <w:spacing w:before="0" w:after="0" w:line="408" w:lineRule="exact"/>
        <w:ind w:left="0" w:right="0" w:firstLine="576"/>
        <w:jc w:val="left"/>
      </w:pPr>
      <w:r>
        <w:rPr/>
        <w:t xml:space="preserve">(e) To perform an audit under RCW 29A.60.185; and</w:t>
      </w:r>
    </w:p>
    <w:p>
      <w:pPr>
        <w:spacing w:before="0" w:after="0" w:line="408" w:lineRule="exact"/>
        <w:ind w:left="0" w:right="0" w:firstLine="576"/>
        <w:jc w:val="left"/>
      </w:pPr>
      <w:r>
        <w:rPr>
          <w:u w:val="single"/>
        </w:rPr>
        <w:t xml:space="preserve">(f) By election officials to produce, program, or otherwise provide for quick response codes required under section 1 of this act, or to process quick response codes in accordance with RCW 29A.40.110(2); and</w:t>
      </w:r>
    </w:p>
    <w:p>
      <w:pPr>
        <w:spacing w:before="0" w:after="0" w:line="408" w:lineRule="exact"/>
        <w:ind w:left="0" w:right="0" w:firstLine="576"/>
        <w:jc w:val="left"/>
      </w:pPr>
      <w:r>
        <w:rPr/>
        <w:t xml:space="preserve">(2) The practices and associated documentation used:</w:t>
      </w:r>
    </w:p>
    <w:p>
      <w:pPr>
        <w:spacing w:before="0" w:after="0" w:line="408" w:lineRule="exact"/>
        <w:ind w:left="0" w:right="0" w:firstLine="576"/>
        <w:jc w:val="left"/>
      </w:pPr>
      <w:r>
        <w:rPr/>
        <w:t xml:space="preserve">(a) To identify system components and versions of such components;</w:t>
      </w:r>
    </w:p>
    <w:p>
      <w:pPr>
        <w:spacing w:before="0" w:after="0" w:line="408" w:lineRule="exact"/>
        <w:ind w:left="0" w:right="0" w:firstLine="576"/>
        <w:jc w:val="left"/>
      </w:pPr>
      <w:r>
        <w:rPr/>
        <w:t xml:space="preserve">(b) To test the system during its development and maintenance;</w:t>
      </w:r>
    </w:p>
    <w:p>
      <w:pPr>
        <w:spacing w:before="0" w:after="0" w:line="408" w:lineRule="exact"/>
        <w:ind w:left="0" w:right="0" w:firstLine="576"/>
        <w:jc w:val="left"/>
      </w:pPr>
      <w:r>
        <w:rPr/>
        <w:t xml:space="preserve">(c) To maintain records of system errors and defects;</w:t>
      </w:r>
    </w:p>
    <w:p>
      <w:pPr>
        <w:spacing w:before="0" w:after="0" w:line="408" w:lineRule="exact"/>
        <w:ind w:left="0" w:right="0" w:firstLine="576"/>
        <w:jc w:val="left"/>
      </w:pPr>
      <w:r>
        <w:rPr/>
        <w:t xml:space="preserve">(d) To determine specific system changes to be made to a system after the initial qualification of the system; and</w:t>
      </w:r>
    </w:p>
    <w:p>
      <w:pPr>
        <w:spacing w:before="0" w:after="0" w:line="408" w:lineRule="exact"/>
        <w:ind w:left="0" w:right="0" w:firstLine="576"/>
        <w:jc w:val="left"/>
      </w:pPr>
      <w:r>
        <w:rPr/>
        <w:t xml:space="preserve">(e) To make available any materials to the voter such as notices, instructions, forms, or paper ballots.</w:t>
      </w:r>
    </w:p>
    <w:p/>
    <w:p>
      <w:pPr>
        <w:jc w:val="center"/>
      </w:pPr>
      <w:r>
        <w:rPr>
          <w:b/>
        </w:rPr>
        <w:t>--- END ---</w:t>
      </w:r>
    </w:p>
    <w:sectPr>
      <w:pgNumType w:start="1"/>
      <w:footerReference xmlns:r="http://schemas.openxmlformats.org/officeDocument/2006/relationships" r:id="Rcd3c15f34e684d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efffd4e1e44a9" /><Relationship Type="http://schemas.openxmlformats.org/officeDocument/2006/relationships/footer" Target="/word/footer1.xml" Id="Rcd3c15f34e684de4" /></Relationships>
</file>