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521100a05b46d1" /></Relationships>
</file>

<file path=word/document.xml><?xml version="1.0" encoding="utf-8"?>
<w:document xmlns:w="http://schemas.openxmlformats.org/wordprocessingml/2006/main">
  <w:body>
    <w:p>
      <w:r>
        <w:t>H-2492.1</w:t>
      </w:r>
    </w:p>
    <w:p>
      <w:pPr>
        <w:jc w:val="center"/>
      </w:pPr>
      <w:r>
        <w:t>_______________________________________________</w:t>
      </w:r>
    </w:p>
    <w:p/>
    <w:p>
      <w:pPr>
        <w:jc w:val="center"/>
      </w:pPr>
      <w:r>
        <w:rPr>
          <w:b/>
        </w:rPr>
        <w:t>SUBSTITUTE HOUSE BILL 1844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Public Safety (originally sponsored by Representatives Mosbrucker, Rule, and Graham)</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offense of unlawful branding of another person; amending RCW 9.94A.515 and 9.94A.515; reenacting and amending RCW 9A.04.080; adding a new section to chapter 9A.36 RCW;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 person is guilty of unlawful branding of another person if he or she knowingly:</w:t>
      </w:r>
    </w:p>
    <w:p>
      <w:pPr>
        <w:spacing w:before="0" w:after="0" w:line="408" w:lineRule="exact"/>
        <w:ind w:left="0" w:right="0" w:firstLine="576"/>
        <w:jc w:val="left"/>
      </w:pPr>
      <w:r>
        <w:rPr/>
        <w:t xml:space="preserve">(a) Marks another person's body with a subdermal implant, tattoo, or body art, with the knowledge that the mark is intended to be used to track the person or mark the person for ownership as part of a plan or scheme to engage in trafficking of the person under RCW 9A.40.100 or promoting prostitution of the person under RCW 9A.88.070 or 9A.88.080; or</w:t>
      </w:r>
    </w:p>
    <w:p>
      <w:pPr>
        <w:spacing w:before="0" w:after="0" w:line="408" w:lineRule="exact"/>
        <w:ind w:left="0" w:right="0" w:firstLine="576"/>
        <w:jc w:val="left"/>
      </w:pPr>
      <w:r>
        <w:rPr/>
        <w:t xml:space="preserve">(b) Uses force, fraud, or coercion to cause a person to have his or her body marked with a subdermal implant, tattoo, or body art, for the purpose of tracking the person or marking the person for ownership as part of a plan or scheme to engage in trafficking of the person under RCW 9A.40.100 or promoting prostitution of the person under RCW 9A.88.070 or 9A.88.080.</w:t>
      </w:r>
    </w:p>
    <w:p>
      <w:pPr>
        <w:spacing w:before="0" w:after="0" w:line="408" w:lineRule="exact"/>
        <w:ind w:left="0" w:right="0" w:firstLine="576"/>
        <w:jc w:val="left"/>
      </w:pPr>
      <w:r>
        <w:rPr/>
        <w:t xml:space="preserve">(2) Unlawful branding of another person is a class B felony.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"Body art" has the same meaning as provided in RCW 18.300.010.</w:t>
      </w:r>
    </w:p>
    <w:p>
      <w:pPr>
        <w:spacing w:before="0" w:after="0" w:line="408" w:lineRule="exact"/>
        <w:ind w:left="0" w:right="0" w:firstLine="576"/>
        <w:jc w:val="left"/>
      </w:pPr>
      <w:r>
        <w:rPr/>
        <w:t xml:space="preserve">(b) "Coercion" has the same meaning as provided in RCW 9A.36.070.</w:t>
      </w:r>
    </w:p>
    <w:p>
      <w:pPr>
        <w:spacing w:before="0" w:after="0" w:line="408" w:lineRule="exact"/>
        <w:ind w:left="0" w:right="0" w:firstLine="576"/>
        <w:jc w:val="left"/>
      </w:pPr>
      <w:r>
        <w:rPr/>
        <w:t xml:space="preserve">(c) "Tattoo" means an indelible mark made by tattooing, as defined in RCW 18.300.010.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2020 c 344 s 4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Unlawful Branding of Another Person (section 1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w:t>
            </w:r>
            <w:r>
              <w:t>((</w:t>
            </w:r>
            <w:r>
              <w:rPr>
                <w:rFonts w:ascii="Times New Roman" w:hAnsi="Times New Roman"/>
                <w:strike/>
                <w:sz w:val="20"/>
              </w:rPr>
              <w:t xml:space="preserve">Fourteen</w:t>
            </w:r>
            <w:r>
              <w:t>))</w:t>
            </w:r>
            <w:r>
              <w:rPr>
                <w:rFonts w:ascii="Times New Roman" w:hAnsi="Times New Roman"/>
                <w:sz w:val="20"/>
              </w:rPr>
              <w:t xml:space="preserve"> </w:t>
            </w:r>
            <w:r>
              <w:rPr>
                <w:rFonts w:ascii="Times New Roman" w:hAnsi="Times New Roman"/>
                <w:sz w:val="20"/>
                <w:u w:val="single"/>
              </w:rPr>
              <w:t xml:space="preserve">14</w:t>
            </w:r>
            <w:r>
              <w:rPr>
                <w:rFonts w:ascii="Times New Roman" w:hAnsi="Times New Roman"/>
                <w:sz w:val="20"/>
              </w:rPr>
              <w:t xml:space="preserve">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seven hundred fifty dollars</w:t>
            </w:r>
            <w:r>
              <w:t>))</w:t>
            </w:r>
            <w:r>
              <w:rPr>
                <w:rFonts w:ascii="Times New Roman" w:hAnsi="Times New Roman"/>
                <w:sz w:val="20"/>
              </w:rPr>
              <w:t xml:space="preserve"> </w:t>
            </w:r>
            <w:r>
              <w:rPr>
                <w:rFonts w:ascii="Times New Roman" w:hAnsi="Times New Roman"/>
                <w:sz w:val="20"/>
                <w:u w:val="single"/>
              </w:rPr>
              <w:t xml:space="preserve">$750</w:t>
            </w:r>
            <w:r>
              <w:rPr>
                <w:rFonts w:ascii="Times New Roman" w:hAnsi="Times New Roman"/>
                <w:sz w:val="20"/>
              </w:rPr>
              <w:t xml:space="preserve"> or more but less than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2021 c 215 s 99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Unlawful Branding of Another Person (section 1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w:t>
            </w:r>
            <w:r>
              <w:t>((</w:t>
            </w:r>
            <w:r>
              <w:rPr>
                <w:rFonts w:ascii="Times New Roman" w:hAnsi="Times New Roman"/>
                <w:strike/>
                <w:sz w:val="20"/>
              </w:rPr>
              <w:t xml:space="preserve">Fourteen</w:t>
            </w:r>
            <w:r>
              <w:t>))</w:t>
            </w:r>
            <w:r>
              <w:rPr>
                <w:rFonts w:ascii="Times New Roman" w:hAnsi="Times New Roman"/>
                <w:sz w:val="20"/>
              </w:rPr>
              <w:t xml:space="preserve"> </w:t>
            </w:r>
            <w:r>
              <w:rPr>
                <w:rFonts w:ascii="Times New Roman" w:hAnsi="Times New Roman"/>
                <w:sz w:val="20"/>
                <w:u w:val="single"/>
              </w:rPr>
              <w:t xml:space="preserve">14</w:t>
            </w:r>
            <w:r>
              <w:rPr>
                <w:rFonts w:ascii="Times New Roman" w:hAnsi="Times New Roman"/>
                <w:sz w:val="20"/>
              </w:rPr>
              <w:t xml:space="preserve">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seven hundred fifty dollars</w:t>
            </w:r>
            <w:r>
              <w:t>))</w:t>
            </w:r>
            <w:r>
              <w:rPr>
                <w:rFonts w:ascii="Times New Roman" w:hAnsi="Times New Roman"/>
                <w:sz w:val="20"/>
              </w:rPr>
              <w:t xml:space="preserve"> </w:t>
            </w:r>
            <w:r>
              <w:rPr>
                <w:rFonts w:ascii="Times New Roman" w:hAnsi="Times New Roman"/>
                <w:sz w:val="20"/>
                <w:u w:val="single"/>
              </w:rPr>
              <w:t xml:space="preserve">$750</w:t>
            </w:r>
            <w:r>
              <w:rPr>
                <w:rFonts w:ascii="Times New Roman" w:hAnsi="Times New Roman"/>
                <w:sz w:val="20"/>
              </w:rPr>
              <w:t xml:space="preserve"> or more but less than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2019 c 93 s 2 and 2019 c 87 s 2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w:t>
      </w:r>
      <w:r>
        <w:t>((</w:t>
      </w:r>
      <w:r>
        <w:rPr>
          <w:strike/>
        </w:rPr>
        <w:t xml:space="preserve">sixteen</w:t>
      </w:r>
      <w:r>
        <w:t>))</w:t>
      </w:r>
      <w:r>
        <w:rPr/>
        <w:t xml:space="preserve"> </w:t>
      </w:r>
      <w:r>
        <w:rPr>
          <w:u w:val="single"/>
        </w:rPr>
        <w:t xml:space="preserve">16</w:t>
      </w:r>
      <w:r>
        <w:rPr/>
        <w:t xml:space="preserve">;</w:t>
      </w:r>
    </w:p>
    <w:p>
      <w:pPr>
        <w:spacing w:before="0" w:after="0" w:line="408" w:lineRule="exact"/>
        <w:ind w:left="0" w:right="0" w:firstLine="576"/>
        <w:jc w:val="left"/>
      </w:pPr>
      <w:r>
        <w:rPr/>
        <w:t xml:space="preserve">(viii) Rape in the second degree (RCW 9A.44.050) if the victim is under the age of </w:t>
      </w:r>
      <w:r>
        <w:t>((</w:t>
      </w:r>
      <w:r>
        <w:rPr>
          <w:strike/>
        </w:rPr>
        <w:t xml:space="preserve">sixteen</w:t>
      </w:r>
      <w:r>
        <w:t>))</w:t>
      </w:r>
      <w:r>
        <w:rPr/>
        <w:t xml:space="preserve"> </w:t>
      </w:r>
      <w:r>
        <w:rPr>
          <w:u w:val="single"/>
        </w:rPr>
        <w:t xml:space="preserve">16</w:t>
      </w:r>
      <w:r>
        <w:rPr/>
        <w:t xml:space="preserve">;</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and</w:t>
      </w:r>
    </w:p>
    <w:p>
      <w:pPr>
        <w:spacing w:before="0" w:after="0" w:line="408" w:lineRule="exact"/>
        <w:ind w:left="0" w:right="0" w:firstLine="576"/>
        <w:jc w:val="left"/>
      </w:pPr>
      <w:r>
        <w:rPr/>
        <w:t xml:space="preserve">(xvii) Sexual exploitation of a minor (RCW 9.68A.040).</w:t>
      </w:r>
    </w:p>
    <w:p>
      <w:pPr>
        <w:spacing w:before="0" w:after="0" w:line="408" w:lineRule="exact"/>
        <w:ind w:left="0" w:right="0" w:firstLine="576"/>
        <w:jc w:val="left"/>
      </w:pPr>
      <w:r>
        <w:rPr/>
        <w:t xml:space="preserve">(b) Except as provided in (a) of this subsection, the following offenses may not be prosecuted more than </w:t>
      </w:r>
      <w:r>
        <w:t>((</w:t>
      </w:r>
      <w:r>
        <w:rPr>
          <w:strike/>
        </w:rPr>
        <w:t xml:space="preserve">twenty</w:t>
      </w:r>
      <w:r>
        <w:t>))</w:t>
      </w:r>
      <w:r>
        <w:rPr/>
        <w:t xml:space="preserve"> </w:t>
      </w:r>
      <w:r>
        <w:rPr>
          <w:u w:val="single"/>
        </w:rPr>
        <w:t xml:space="preserve">20</w:t>
      </w:r>
      <w:r>
        <w:rPr/>
        <w:t xml:space="preserve">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w:t>
      </w:r>
      <w:r>
        <w:t>((</w:t>
      </w:r>
      <w:r>
        <w:rPr>
          <w:strike/>
        </w:rPr>
        <w:t xml:space="preserve">ten</w:t>
      </w:r>
      <w:r>
        <w:t>))</w:t>
      </w:r>
      <w:r>
        <w:rPr/>
        <w:t xml:space="preserve"> </w:t>
      </w:r>
      <w:r>
        <w:rPr>
          <w:u w:val="single"/>
        </w:rPr>
        <w:t xml:space="preserve">10</w:t>
      </w:r>
      <w:r>
        <w:rPr/>
        <w:t xml:space="preserve">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any offense listed in this subsection (1)(d) may be prosecuted up to </w:t>
      </w:r>
      <w:r>
        <w:t>((</w:t>
      </w:r>
      <w:r>
        <w:rPr>
          <w:strike/>
        </w:rPr>
        <w:t xml:space="preserve">ten</w:t>
      </w:r>
      <w:r>
        <w:t>))</w:t>
      </w:r>
      <w:r>
        <w:rPr/>
        <w:t xml:space="preserve"> </w:t>
      </w:r>
      <w:r>
        <w:rPr>
          <w:u w:val="single"/>
        </w:rPr>
        <w:t xml:space="preserve">10</w:t>
      </w:r>
      <w:r>
        <w:rPr/>
        <w:t xml:space="preserve"> years after its commission or, if committed against a victim under the age of </w:t>
      </w:r>
      <w:r>
        <w:t>((</w:t>
      </w:r>
      <w:r>
        <w:rPr>
          <w:strike/>
        </w:rPr>
        <w:t xml:space="preserve">eighteen</w:t>
      </w:r>
      <w:r>
        <w:t>))</w:t>
      </w:r>
      <w:r>
        <w:rPr/>
        <w:t xml:space="preserve"> </w:t>
      </w:r>
      <w:r>
        <w:rPr>
          <w:u w:val="single"/>
        </w:rPr>
        <w:t xml:space="preserve">18</w:t>
      </w:r>
      <w:r>
        <w:rPr/>
        <w:t xml:space="preserve">, up to the victim's </w:t>
      </w:r>
      <w:r>
        <w:t>((</w:t>
      </w:r>
      <w:r>
        <w:rPr>
          <w:strike/>
        </w:rPr>
        <w:t xml:space="preserve">thirtieth</w:t>
      </w:r>
      <w:r>
        <w:t>))</w:t>
      </w:r>
      <w:r>
        <w:rPr/>
        <w:t xml:space="preserve"> </w:t>
      </w:r>
      <w:r>
        <w:rPr>
          <w:u w:val="single"/>
        </w:rPr>
        <w:t xml:space="preserve">30th</w:t>
      </w:r>
      <w:r>
        <w:rPr/>
        <w:t xml:space="preserve">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w:t>
      </w:r>
    </w:p>
    <w:p>
      <w:pPr>
        <w:spacing w:before="0" w:after="0" w:line="408" w:lineRule="exact"/>
        <w:ind w:left="0" w:right="0" w:firstLine="576"/>
        <w:jc w:val="left"/>
      </w:pPr>
      <w:r>
        <w:rPr/>
        <w:t xml:space="preserve">(iii) RCW 9.68A.102 (promoting travel for commercial sexual abuse of a minor); </w:t>
      </w:r>
      <w:r>
        <w:t>((</w:t>
      </w:r>
      <w:r>
        <w:rPr>
          <w:strike/>
        </w:rPr>
        <w:t xml:space="preserve">or</w:t>
      </w:r>
      <w:r>
        <w:t>))</w:t>
      </w:r>
    </w:p>
    <w:p>
      <w:pPr>
        <w:spacing w:before="0" w:after="0" w:line="408" w:lineRule="exact"/>
        <w:ind w:left="0" w:right="0" w:firstLine="576"/>
        <w:jc w:val="left"/>
      </w:pPr>
      <w:r>
        <w:rPr/>
        <w:t xml:space="preserve">(iv) RCW 9A.64.020 (incest)</w:t>
      </w:r>
      <w:r>
        <w:rPr>
          <w:u w:val="single"/>
        </w:rPr>
        <w:t xml:space="preserve">; or</w:t>
      </w:r>
    </w:p>
    <w:p>
      <w:pPr>
        <w:spacing w:before="0" w:after="0" w:line="408" w:lineRule="exact"/>
        <w:ind w:left="0" w:right="0" w:firstLine="576"/>
        <w:jc w:val="left"/>
      </w:pPr>
      <w:r>
        <w:rPr>
          <w:u w:val="single"/>
        </w:rPr>
        <w:t xml:space="preserve">(v) Section 1 of this act (unlawful branding of another person)</w:t>
      </w:r>
      <w:r>
        <w:rPr/>
        <w:t xml:space="preserve">.</w:t>
      </w:r>
    </w:p>
    <w:p>
      <w:pPr>
        <w:spacing w:before="0" w:after="0" w:line="408" w:lineRule="exact"/>
        <w:ind w:left="0" w:right="0" w:firstLine="576"/>
        <w:jc w:val="left"/>
      </w:pPr>
      <w:r>
        <w:rPr/>
        <w:t xml:space="preserve">(e)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 or</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(f)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(g) Bigamy may not be prosecuted more than three years after the time specified in RCW 9A.64.010.</w:t>
      </w:r>
    </w:p>
    <w:p>
      <w:pPr>
        <w:spacing w:before="0" w:after="0" w:line="408" w:lineRule="exact"/>
        <w:ind w:left="0" w:right="0" w:firstLine="576"/>
        <w:jc w:val="left"/>
      </w:pPr>
      <w:r>
        <w:rPr/>
        <w:t xml:space="preserve">(h)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two years from the date on which the identity of the suspect is conclusively established by </w:t>
      </w:r>
      <w:r>
        <w:t>((</w:t>
      </w:r>
      <w:r>
        <w:rPr>
          <w:strike/>
        </w:rPr>
        <w:t xml:space="preserve">deoxyribonucleic acid</w:t>
      </w:r>
      <w:r>
        <w:t>))</w:t>
      </w:r>
      <w:r>
        <w:rPr/>
        <w:t xml:space="preserve"> </w:t>
      </w:r>
      <w:r>
        <w:rPr>
          <w:u w:val="single"/>
        </w:rPr>
        <w:t xml:space="preserve">DNA</w:t>
      </w:r>
      <w:r>
        <w:rPr/>
        <w:t xml:space="preserve">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2022.</w:t>
      </w:r>
    </w:p>
    <w:p/>
    <w:p>
      <w:pPr>
        <w:jc w:val="center"/>
      </w:pPr>
      <w:r>
        <w:rPr>
          <w:b/>
        </w:rPr>
        <w:t>--- END ---</w:t>
      </w:r>
    </w:p>
    <w:sectPr>
      <w:pgNumType w:start="1"/>
      <w:footerReference xmlns:r="http://schemas.openxmlformats.org/officeDocument/2006/relationships" r:id="Rb3276330ac9a4d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26d4dd4a2b40b1" /><Relationship Type="http://schemas.openxmlformats.org/officeDocument/2006/relationships/footer" Target="/word/footer1.xml" Id="Rb3276330ac9a4dac" /></Relationships>
</file>