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15dc555984a6e" /></Relationships>
</file>

<file path=word/document.xml><?xml version="1.0" encoding="utf-8"?>
<w:document xmlns:w="http://schemas.openxmlformats.org/wordprocessingml/2006/main">
  <w:body>
    <w:p>
      <w:r>
        <w:t>H-2035.1</w:t>
      </w:r>
    </w:p>
    <w:p>
      <w:pPr>
        <w:jc w:val="center"/>
      </w:pPr>
      <w:r>
        <w:t>_______________________________________________</w:t>
      </w:r>
    </w:p>
    <w:p/>
    <w:p>
      <w:pPr>
        <w:jc w:val="center"/>
      </w:pPr>
      <w:r>
        <w:rPr>
          <w:b/>
        </w:rPr>
        <w:t>HOUSE BILL 1876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Valdez, Fitzgibbon, Simmons, Chopp, Ramel, and Pollet</w:t>
      </w:r>
    </w:p>
    <w:p/>
    <w:p>
      <w:r>
        <w:rPr>
          <w:t xml:space="preserve">Read first time 01/11/22.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investment impact disclosures for certain ballot measures that repeal, levy, or modify any tax or fee and have a fiscal impact statement that shows that adoption of the measure would cause a net change in state revenue; amending RCW 29A.72.050 and 29A.72.290; adding a new section to chapter 29A.72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have reserved for themselves the power to enact or reject legislation through the initiative and referendum process, as provided in Article II, section 1 of the state Constitution. The legislature finds that when exercising this right, the people are entitled to know the fiscal impact that their vote will have on public investments at the time they cast their ballots. The legislature further finds that when a ballot measure will affect funding for public investments, a neutral, nonprejudicial disclosure of the public investments affected will provide greater transparency and necessary information for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w:t>
      </w:r>
    </w:p>
    <w:p>
      <w:pPr>
        <w:spacing w:before="0" w:after="0" w:line="408" w:lineRule="exact"/>
        <w:ind w:left="0" w:right="0" w:firstLine="576"/>
        <w:jc w:val="left"/>
      </w:pPr>
      <w:r>
        <w:rPr/>
        <w:t xml:space="preserve">(3) The format of the public investment impact disclosure, as it appears on the ballot, is:</w:t>
      </w:r>
    </w:p>
    <w:p>
      <w:pPr>
        <w:spacing w:before="0" w:after="0" w:line="408" w:lineRule="exact"/>
        <w:ind w:left="0" w:right="0" w:firstLine="576"/>
        <w:jc w:val="left"/>
      </w:pPr>
      <w:r>
        <w:rPr/>
        <w:t xml:space="preserve">"This measure would (increase or decrease) funding for (description of services)."</w:t>
      </w:r>
    </w:p>
    <w:p>
      <w:pPr>
        <w:spacing w:before="0" w:after="0" w:line="408" w:lineRule="exact"/>
        <w:ind w:left="0" w:right="0" w:firstLine="576"/>
        <w:jc w:val="left"/>
      </w:pPr>
      <w:r>
        <w:rPr/>
        <w:t xml:space="preserve">(4) In drafting the public investment impact disclosure, the attorney general must use neutral language that cannot reasonably be expected to create prejudice for or against the measure. The language of the disclosure is not subject to appeal.</w:t>
      </w:r>
    </w:p>
    <w:p>
      <w:pPr>
        <w:spacing w:before="0" w:after="0" w:line="408" w:lineRule="exact"/>
        <w:ind w:left="0" w:right="0" w:firstLine="576"/>
        <w:jc w:val="left"/>
      </w:pPr>
      <w:r>
        <w:rPr/>
        <w:t xml:space="preserve">(5) The attorney general must file the public investment impact disclosure with the secretary of state no later than five business days after the fiscal impact statement has been filed under RCW 29A.72.025.</w:t>
      </w:r>
    </w:p>
    <w:p>
      <w:pPr>
        <w:spacing w:before="0" w:after="0" w:line="408" w:lineRule="exact"/>
        <w:ind w:left="0" w:right="0" w:firstLine="576"/>
        <w:jc w:val="left"/>
      </w:pPr>
      <w:r>
        <w:rPr/>
        <w:t xml:space="preserve">(6) The secretary of state must certify the public investment impact disclosure and timely transmit it to each county auditor for its inclusion on the ballot.</w:t>
      </w:r>
    </w:p>
    <w:p>
      <w:pPr>
        <w:spacing w:before="0" w:after="0" w:line="408" w:lineRule="exact"/>
        <w:ind w:left="0" w:right="0" w:firstLine="576"/>
        <w:jc w:val="left"/>
      </w:pPr>
      <w:r>
        <w:rPr/>
        <w:t xml:space="preserve">(7) Public investment impact disclosures are not considered part of the ballot title under this chapter and are not subject to any of the legal requirements for ballot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w:t>
      </w:r>
      <w:r>
        <w:rPr>
          <w:u w:val="single"/>
        </w:rPr>
        <w:t xml:space="preserve">If a public investment impact disclosure is required under section 2 of this act,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pPr>
        <w:spacing w:before="0" w:after="120" w:line="408" w:lineRule="exact"/>
        <w:ind w:left="0" w:right="0" w:firstLine="576"/>
        <w:jc w:val="left"/>
      </w:pPr>
      <w:r>
        <w:rPr>
          <w:u w:val="single"/>
        </w:rPr>
        <w:t xml:space="preserve">(3)</w:t>
      </w:r>
      <w:r>
        <w:rPr/>
        <w:t xml:space="preserve"> For an initiative to the people, or for an initiative to the legislature for which the legislature has not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investment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t>((</w:t>
      </w:r>
      <w:r>
        <w:rPr>
          <w:strike/>
        </w:rPr>
        <w:t xml:space="preserve">(3)</w:t>
      </w:r>
      <w:r>
        <w:t>))</w:t>
      </w:r>
      <w:r>
        <w:rPr/>
        <w:t xml:space="preserve"> </w:t>
      </w:r>
      <w:r>
        <w:rPr>
          <w:u w:val="single"/>
        </w:rPr>
        <w:t xml:space="preserve">(4)</w:t>
      </w:r>
      <w:r>
        <w:rPr/>
        <w:t xml:space="preserve"> For an initiative to the legislature for which the legislature has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investment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investment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For a referendum bill submitted to the people by the legislature,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For a referendum measure by state voters on a bill the legislature has passed,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w:t>
      </w:r>
      <w:r>
        <w:t>((</w:t>
      </w:r>
      <w:r>
        <w:rPr>
          <w:strike/>
        </w:rPr>
        <w:t xml:space="preserve">and</w:t>
      </w:r>
      <w:r>
        <w:t>))</w:t>
      </w:r>
      <w:r>
        <w:rPr>
          <w:u w:val="single"/>
        </w:rPr>
        <w:t xml:space="preserve">,</w:t>
      </w:r>
      <w:r>
        <w:rPr/>
        <w:t xml:space="preserve"> ballot titles</w:t>
      </w:r>
      <w:r>
        <w:rPr>
          <w:u w:val="single"/>
        </w:rPr>
        <w:t xml:space="preserve">, and public investment impact disclosures</w:t>
      </w:r>
      <w:r>
        <w:rPr/>
        <w:t xml:space="preserve">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
      <w:pPr>
        <w:jc w:val="center"/>
      </w:pPr>
      <w:r>
        <w:rPr>
          <w:b/>
        </w:rPr>
        <w:t>--- END ---</w:t>
      </w:r>
    </w:p>
    <w:sectPr>
      <w:pgNumType w:start="1"/>
      <w:footerReference xmlns:r="http://schemas.openxmlformats.org/officeDocument/2006/relationships" r:id="Ra40af4fbd16e45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bdcfa25e74d60" /><Relationship Type="http://schemas.openxmlformats.org/officeDocument/2006/relationships/footer" Target="/word/footer1.xml" Id="Ra40af4fbd16e4542" /></Relationships>
</file>