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a567a16f2462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Ramel, Boehnke, Fitzgibbon, Shewmake, Kloba, and Young)</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property related to renewable energy for the purposes of property tax and providing for a payment in lieu of taxes for renewable energy facilities; and adding a new section to chapter 84.40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department must publish guidance, in cooperation with industry stakeholders, to advise county assessors when appraising renewable energy facilities for determining true and fair value, in accordance with RCW 84.40.030. This guidance must include a cost-based appraisal method, and the development of industry-specific valuation tables for the following types of renewable energy property:</w:t>
      </w:r>
    </w:p>
    <w:p>
      <w:pPr>
        <w:spacing w:before="0" w:after="0" w:line="408" w:lineRule="exact"/>
        <w:ind w:left="0" w:right="0" w:firstLine="576"/>
        <w:jc w:val="left"/>
      </w:pPr>
      <w:r>
        <w:rPr/>
        <w:t xml:space="preserve">(a) A cost-based appraisal method and industry-specific valuation tables for equipment used to generate solar power must be published by January 1, 2023, for property taxes levied for collection in calendar year 2024;</w:t>
      </w:r>
    </w:p>
    <w:p>
      <w:pPr>
        <w:spacing w:before="0" w:after="0" w:line="408" w:lineRule="exact"/>
        <w:ind w:left="0" w:right="0" w:firstLine="576"/>
        <w:jc w:val="left"/>
      </w:pPr>
      <w:r>
        <w:rPr/>
        <w:t xml:space="preserve">(b) A cost-based appraisal method and industry-specific valuation tables for equipment used to generate wind power must be published by January 1, 2023, for property taxes levied for collection in calendar year 2024; and</w:t>
      </w:r>
    </w:p>
    <w:p>
      <w:pPr>
        <w:spacing w:before="0" w:after="0" w:line="408" w:lineRule="exact"/>
        <w:ind w:left="0" w:right="0" w:firstLine="576"/>
        <w:jc w:val="left"/>
      </w:pPr>
      <w:r>
        <w:rPr/>
        <w:t xml:space="preserve">(c) A cost-based appraisal method and industry-specific valuation tables for equipment used to store electricity must be published by January 1, 2024, for property taxes levied for collection in calendar year 2025.</w:t>
      </w:r>
    </w:p>
    <w:p>
      <w:pPr>
        <w:spacing w:before="0" w:after="0" w:line="408" w:lineRule="exact"/>
        <w:ind w:left="0" w:right="0" w:firstLine="576"/>
        <w:jc w:val="left"/>
      </w:pPr>
      <w:r>
        <w:rPr/>
        <w:t xml:space="preserve">(3) County assessors must refer to this guidance, including cost-based appraisal method and industry-specific valuation tables, when valuing renewable energy property but may also consider one or more additional valuation methods in determining the true and fair value of a property when there is a compelling reason to do so.</w:t>
      </w:r>
    </w:p>
    <w:p>
      <w:pPr>
        <w:spacing w:before="0" w:after="0" w:line="408" w:lineRule="exact"/>
        <w:ind w:left="0" w:right="0" w:firstLine="576"/>
        <w:jc w:val="left"/>
      </w:pPr>
      <w:r>
        <w:rPr/>
        <w:t xml:space="preserve">(4) For the purposes of this section, "renewable energy property" means property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 "Renewable energy property" does not include any equipment or materials attached to a single-family residential building.</w:t>
      </w:r>
    </w:p>
    <w:p/>
    <w:p>
      <w:pPr>
        <w:jc w:val="center"/>
      </w:pPr>
      <w:r>
        <w:rPr>
          <w:b/>
        </w:rPr>
        <w:t>--- END ---</w:t>
      </w:r>
    </w:p>
    <w:sectPr>
      <w:pgNumType w:start="1"/>
      <w:footerReference xmlns:r="http://schemas.openxmlformats.org/officeDocument/2006/relationships" r:id="Re6cf1d7659b24c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30d51926b4d39" /><Relationship Type="http://schemas.openxmlformats.org/officeDocument/2006/relationships/footer" Target="/word/footer1.xml" Id="Re6cf1d7659b24c9a" /></Relationships>
</file>