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0ea8d8cc2a49fd" /></Relationships>
</file>

<file path=word/document.xml><?xml version="1.0" encoding="utf-8"?>
<w:document xmlns:w="http://schemas.openxmlformats.org/wordprocessingml/2006/main">
  <w:body>
    <w:p>
      <w:r>
        <w:t>H-2072.1</w:t>
      </w:r>
    </w:p>
    <w:p>
      <w:pPr>
        <w:jc w:val="center"/>
      </w:pPr>
      <w:r>
        <w:t>_______________________________________________</w:t>
      </w:r>
    </w:p>
    <w:p/>
    <w:p>
      <w:pPr>
        <w:jc w:val="center"/>
      </w:pPr>
      <w:r>
        <w:rPr>
          <w:b/>
        </w:rPr>
        <w:t>HOUSE BILL 1922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 Rule</w:t>
      </w:r>
    </w:p>
    <w:p/>
    <w:p>
      <w:r>
        <w:rPr>
          <w:t xml:space="preserve">Read first time 01/11/22.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criminal penalties for possession of fentanyl; amending RCW 69.50.4013, 69.50.4013, 9.94A.518, 10.31.115, and 13.40.0357;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2021 c 311 s 9 are each amended to read as follows:</w:t>
      </w:r>
    </w:p>
    <w:p>
      <w:pPr>
        <w:spacing w:before="0" w:after="0" w:line="408" w:lineRule="exact"/>
        <w:ind w:left="0" w:right="0" w:firstLine="576"/>
        <w:jc w:val="left"/>
      </w:pPr>
      <w:r>
        <w:rPr/>
        <w:t xml:space="preserve">(1) It is unlawful for any person to knowingly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w:t>
      </w:r>
      <w:r>
        <w:rPr>
          <w:u w:val="single"/>
        </w:rPr>
        <w:t xml:space="preserve">(a)</w:t>
      </w:r>
      <w:r>
        <w:rPr/>
        <w:t xml:space="preserve"> Except as provided in RCW 69.50.4014 </w:t>
      </w:r>
      <w:r>
        <w:rPr>
          <w:u w:val="single"/>
        </w:rPr>
        <w:t xml:space="preserve">and (b) of this subsection</w:t>
      </w:r>
      <w:r>
        <w:rPr/>
        <w:t xml:space="preserve">, any person who violates this section is guilty of a misdemeanor.</w:t>
      </w:r>
    </w:p>
    <w:p>
      <w:pPr>
        <w:spacing w:before="0" w:after="0" w:line="408" w:lineRule="exact"/>
        <w:ind w:left="0" w:right="0" w:firstLine="576"/>
        <w:jc w:val="left"/>
      </w:pPr>
      <w:r>
        <w:rPr>
          <w:u w:val="single"/>
        </w:rPr>
        <w:t xml:space="preserve">(b) Any person who violates this section by knowingly possessing fentanyl is guilty of a class C felony punishable according to chapter 9A.20 RCW.</w:t>
      </w:r>
    </w:p>
    <w:p>
      <w:pPr>
        <w:spacing w:before="0" w:after="0" w:line="408" w:lineRule="exact"/>
        <w:ind w:left="0" w:right="0" w:firstLine="576"/>
        <w:jc w:val="left"/>
      </w:pPr>
      <w:r>
        <w:rPr/>
        <w:t xml:space="preserve">(3) The prosecutor is encouraged to divert cases under this section for assessment, treatment, or other services.</w:t>
      </w:r>
    </w:p>
    <w:p>
      <w:pPr>
        <w:spacing w:before="0" w:after="0" w:line="408" w:lineRule="exact"/>
        <w:ind w:left="0" w:right="0" w:firstLine="576"/>
        <w:jc w:val="left"/>
      </w:pPr>
      <w:r>
        <w:rPr/>
        <w:t xml:space="preserve">(4)(a) The possession, by a person </w:t>
      </w:r>
      <w:r>
        <w:t>((</w:t>
      </w:r>
      <w:r>
        <w:rPr>
          <w:strike/>
        </w:rPr>
        <w:t xml:space="preserve">twenty-one</w:t>
      </w:r>
      <w:r>
        <w:t>))</w:t>
      </w:r>
      <w:r>
        <w:rPr/>
        <w:t xml:space="preserve"> </w:t>
      </w:r>
      <w:r>
        <w:rPr>
          <w:u w:val="single"/>
        </w:rPr>
        <w:t xml:space="preserve">21</w:t>
      </w:r>
      <w:r>
        <w:rPr/>
        <w:t xml:space="preserv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(5)(a) The delivery by a person </w:t>
      </w:r>
      <w:r>
        <w:t>((</w:t>
      </w:r>
      <w:r>
        <w:rPr>
          <w:strike/>
        </w:rPr>
        <w:t xml:space="preserve">twenty-one</w:t>
      </w:r>
      <w:r>
        <w:t>))</w:t>
      </w:r>
      <w:r>
        <w:rPr/>
        <w:t xml:space="preserve"> </w:t>
      </w:r>
      <w:r>
        <w:rPr>
          <w:u w:val="single"/>
        </w:rPr>
        <w:t xml:space="preserve">21</w:t>
      </w:r>
      <w:r>
        <w:rPr/>
        <w:t xml:space="preserve"> years of age or older to one or more persons </w:t>
      </w:r>
      <w:r>
        <w:t>((</w:t>
      </w:r>
      <w:r>
        <w:rPr>
          <w:strike/>
        </w:rPr>
        <w:t xml:space="preserve">twenty-one</w:t>
      </w:r>
      <w:r>
        <w:t>))</w:t>
      </w:r>
      <w:r>
        <w:rPr/>
        <w:t xml:space="preserve"> </w:t>
      </w:r>
      <w:r>
        <w:rPr>
          <w:u w:val="single"/>
        </w:rPr>
        <w:t xml:space="preserve">21</w:t>
      </w:r>
      <w:r>
        <w:rPr/>
        <w:t xml:space="preserve"> years of age or older, during a single </w:t>
      </w:r>
      <w:r>
        <w:t>((</w:t>
      </w:r>
      <w:r>
        <w:rPr>
          <w:strike/>
        </w:rPr>
        <w:t xml:space="preserve">twenty-four</w:t>
      </w:r>
      <w:r>
        <w:t>))</w:t>
      </w:r>
      <w:r>
        <w:rPr/>
        <w:t xml:space="preserve"> </w:t>
      </w:r>
      <w:r>
        <w:rPr>
          <w:u w:val="single"/>
        </w:rPr>
        <w:t xml:space="preserve">24-</w:t>
      </w:r>
      <w:r>
        <w:rPr/>
        <w:t xml:space="preserve">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t xml:space="preserve">(i) One-half ounce of useable marijuana;</w:t>
      </w:r>
    </w:p>
    <w:p>
      <w:pPr>
        <w:spacing w:before="0" w:after="0" w:line="408" w:lineRule="exact"/>
        <w:ind w:left="0" w:right="0" w:firstLine="576"/>
        <w:jc w:val="left"/>
      </w:pPr>
      <w:r>
        <w:rPr/>
        <w:t xml:space="preserve">(ii) Eight ounces of marijuana-infused product in solid form;</w:t>
      </w:r>
    </w:p>
    <w:p>
      <w:pPr>
        <w:spacing w:before="0" w:after="0" w:line="408" w:lineRule="exact"/>
        <w:ind w:left="0" w:right="0" w:firstLine="576"/>
        <w:jc w:val="left"/>
      </w:pPr>
      <w:r>
        <w:rPr/>
        <w:t xml:space="preserve">(iii) Thirty-six ounces of marijuana-infused product in liquid form; or</w:t>
      </w:r>
    </w:p>
    <w:p>
      <w:pPr>
        <w:spacing w:before="0" w:after="0" w:line="408" w:lineRule="exact"/>
        <w:ind w:left="0" w:right="0" w:firstLine="576"/>
        <w:jc w:val="left"/>
      </w:pPr>
      <w:r>
        <w:rPr/>
        <w:t xml:space="preserve">(iv) Three and one-half grams of marijuana concentrates.</w:t>
      </w:r>
    </w:p>
    <w:p>
      <w:pPr>
        <w:spacing w:before="0" w:after="0" w:line="408" w:lineRule="exact"/>
        <w:ind w:left="0" w:right="0" w:firstLine="576"/>
        <w:jc w:val="left"/>
      </w:pPr>
      <w:r>
        <w:rPr/>
        <w:t xml:space="preserve">(b) The act of delivering marijuana or a marijuana product as authorized under this subsection (5)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marijuana or marijuana product must be in the original packaging as purchased from the marijuana retailer.</w:t>
      </w:r>
    </w:p>
    <w:p>
      <w:pPr>
        <w:spacing w:before="0" w:after="0" w:line="408" w:lineRule="exact"/>
        <w:ind w:left="0" w:right="0" w:firstLine="576"/>
        <w:jc w:val="left"/>
      </w:pPr>
      <w:r>
        <w:rPr/>
        <w:t xml:space="preserve">(6) No person under </w:t>
      </w:r>
      <w:r>
        <w:t>((</w:t>
      </w:r>
      <w:r>
        <w:rPr>
          <w:strike/>
        </w:rPr>
        <w:t xml:space="preserve">twenty-one</w:t>
      </w:r>
      <w:r>
        <w:t>))</w:t>
      </w:r>
      <w:r>
        <w:rPr/>
        <w:t xml:space="preserve"> </w:t>
      </w:r>
      <w:r>
        <w:rPr>
          <w:u w:val="single"/>
        </w:rPr>
        <w:t xml:space="preserve">21</w:t>
      </w:r>
      <w:r>
        <w:rPr/>
        <w:t xml:space="preserv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rPr/>
        <w:t xml:space="preserve">(7)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2017 c 317 s 15 are each amended to read as follows:</w:t>
      </w:r>
    </w:p>
    <w:p>
      <w:pPr>
        <w:spacing w:before="0" w:after="0" w:line="408" w:lineRule="exact"/>
        <w:ind w:left="0" w:right="0" w:firstLine="576"/>
        <w:jc w:val="left"/>
      </w:pPr>
      <w:r>
        <w:rPr/>
        <w:t xml:space="preserve">(1)</w:t>
      </w:r>
      <w:r>
        <w:rPr>
          <w:u w:val="single"/>
        </w:rPr>
        <w:t xml:space="preserve">(a)</w:t>
      </w:r>
      <w:r>
        <w:rPr/>
        <w:t xml:space="preserve">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u w:val="single"/>
        </w:rPr>
        <w:t xml:space="preserve">(b) It is unlawful for any person to knowingly possess fentanyl unless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(3)(a) The possession, by a person </w:t>
      </w:r>
      <w:r>
        <w:t>((</w:t>
      </w:r>
      <w:r>
        <w:rPr>
          <w:strike/>
        </w:rPr>
        <w:t xml:space="preserve">twenty-one</w:t>
      </w:r>
      <w:r>
        <w:t>))</w:t>
      </w:r>
      <w:r>
        <w:rPr/>
        <w:t xml:space="preserve"> </w:t>
      </w:r>
      <w:r>
        <w:rPr>
          <w:u w:val="single"/>
        </w:rPr>
        <w:t xml:space="preserve">21</w:t>
      </w:r>
      <w:r>
        <w:rPr/>
        <w:t xml:space="preserv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w:t>
      </w:r>
      <w:r>
        <w:t>((</w:t>
      </w:r>
      <w:r>
        <w:rPr>
          <w:strike/>
        </w:rPr>
        <w:t xml:space="preserve">twenty-one</w:t>
      </w:r>
      <w:r>
        <w:t>))</w:t>
      </w:r>
      <w:r>
        <w:rPr/>
        <w:t xml:space="preserve"> </w:t>
      </w:r>
      <w:r>
        <w:rPr>
          <w:u w:val="single"/>
        </w:rPr>
        <w:t xml:space="preserve">21</w:t>
      </w:r>
      <w:r>
        <w:rPr/>
        <w:t xml:space="preserve"> years of age or older to one or more persons </w:t>
      </w:r>
      <w:r>
        <w:t>((</w:t>
      </w:r>
      <w:r>
        <w:rPr>
          <w:strike/>
        </w:rPr>
        <w:t xml:space="preserve">twenty-one</w:t>
      </w:r>
      <w:r>
        <w:t>))</w:t>
      </w:r>
      <w:r>
        <w:rPr/>
        <w:t xml:space="preserve"> </w:t>
      </w:r>
      <w:r>
        <w:rPr>
          <w:u w:val="single"/>
        </w:rPr>
        <w:t xml:space="preserve">21</w:t>
      </w:r>
      <w:r>
        <w:rPr/>
        <w:t xml:space="preserve"> years of age or older, during a single </w:t>
      </w:r>
      <w:r>
        <w:t>((</w:t>
      </w:r>
      <w:r>
        <w:rPr>
          <w:strike/>
        </w:rPr>
        <w:t xml:space="preserve">twenty-four</w:t>
      </w:r>
      <w:r>
        <w:t>))</w:t>
      </w:r>
      <w:r>
        <w:rPr/>
        <w:t xml:space="preserve"> </w:t>
      </w:r>
      <w:r>
        <w:rPr>
          <w:u w:val="single"/>
        </w:rPr>
        <w:t xml:space="preserve">24-</w:t>
      </w:r>
      <w:r>
        <w:rPr/>
        <w:t xml:space="preserve">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t xml:space="preserve">(i) One-half ounce of useable marijuana;</w:t>
      </w:r>
    </w:p>
    <w:p>
      <w:pPr>
        <w:spacing w:before="0" w:after="0" w:line="408" w:lineRule="exact"/>
        <w:ind w:left="0" w:right="0" w:firstLine="576"/>
        <w:jc w:val="left"/>
      </w:pPr>
      <w:r>
        <w:rPr/>
        <w:t xml:space="preserve">(ii) Eight ounces of marijuana-infused product in solid form;</w:t>
      </w:r>
    </w:p>
    <w:p>
      <w:pPr>
        <w:spacing w:before="0" w:after="0" w:line="408" w:lineRule="exact"/>
        <w:ind w:left="0" w:right="0" w:firstLine="576"/>
        <w:jc w:val="left"/>
      </w:pPr>
      <w:r>
        <w:rPr/>
        <w:t xml:space="preserve">(iii) Thirty-six ounces of marijuana-infused product in liquid form; or</w:t>
      </w:r>
    </w:p>
    <w:p>
      <w:pPr>
        <w:spacing w:before="0" w:after="0" w:line="408" w:lineRule="exact"/>
        <w:ind w:left="0" w:right="0" w:firstLine="576"/>
        <w:jc w:val="left"/>
      </w:pPr>
      <w:r>
        <w:rPr/>
        <w:t xml:space="preserve">(iv) Three and one-half grams of marijuana concentrates.</w:t>
      </w:r>
    </w:p>
    <w:p>
      <w:pPr>
        <w:spacing w:before="0" w:after="0" w:line="408" w:lineRule="exact"/>
        <w:ind w:left="0" w:right="0" w:firstLine="576"/>
        <w:jc w:val="left"/>
      </w:pPr>
      <w:r>
        <w:rPr/>
        <w:t xml:space="preserve">(b) The act of delivering marijuana or a marijuana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marijuana or marijuana product must be in the original packaging as purchased from the marijuana retailer.</w:t>
      </w:r>
    </w:p>
    <w:p>
      <w:pPr>
        <w:spacing w:before="0" w:after="0" w:line="408" w:lineRule="exact"/>
        <w:ind w:left="0" w:right="0" w:firstLine="576"/>
        <w:jc w:val="left"/>
      </w:pPr>
      <w:r>
        <w:rPr/>
        <w:t xml:space="preserve">(5) No person under </w:t>
      </w:r>
      <w:r>
        <w:t>((</w:t>
      </w:r>
      <w:r>
        <w:rPr>
          <w:strike/>
        </w:rPr>
        <w:t xml:space="preserve">twenty-one</w:t>
      </w:r>
      <w:r>
        <w:t>))</w:t>
      </w:r>
      <w:r>
        <w:rPr/>
        <w:t xml:space="preserve"> </w:t>
      </w:r>
      <w:r>
        <w:rPr>
          <w:u w:val="single"/>
        </w:rPr>
        <w:t xml:space="preserve">21</w:t>
      </w:r>
      <w:r>
        <w:rPr/>
        <w:t xml:space="preserv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518</w:t>
      </w:r>
      <w:r>
        <w:rPr/>
        <w:t xml:space="preserve"> and 2021 c 311 s 15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DRUG OFFENSES</w:t>
            </w:r>
          </w:p>
          <w:p>
            <w:pPr>
              <w:spacing w:before="0" w:after="0" w:line="408" w:lineRule="exact"/>
              <w:ind w:left="0" w:right="0" w:firstLine="0"/>
              <w:jc w:val="center"/>
            </w:pPr>
            <w:r>
              <w:rPr>
                <w:rFonts w:ascii="Times New Roman" w:hAnsi="Times New Roman"/>
                <w:sz w:val="20"/>
              </w:rPr>
              <w:t xml:space="preserve">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Any felony offense under chapter 69.50 RCW with a deadly weapon special verdict under RCW 9.94A.825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Controlled Substance Homicide (RCW 69.50.415)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imitation controlled substance by person </w:t>
            </w:r>
            <w:r>
              <w:t>((</w:t>
            </w:r>
            <w:r>
              <w:rPr>
                <w:rFonts w:ascii="Times New Roman" w:hAnsi="Times New Roman"/>
                <w:strike/>
                <w:sz w:val="20"/>
              </w:rPr>
              <w:t xml:space="preserve">eighteen</w:t>
            </w:r>
            <w:r>
              <w:t>))</w:t>
            </w:r>
            <w:r>
              <w:rPr>
                <w:rFonts w:ascii="Times New Roman" w:hAnsi="Times New Roman"/>
                <w:sz w:val="20"/>
              </w:rPr>
              <w:t xml:space="preserve"> </w:t>
            </w:r>
            <w:r>
              <w:rPr>
                <w:rFonts w:ascii="Times New Roman" w:hAnsi="Times New Roman"/>
                <w:sz w:val="20"/>
                <w:u w:val="single"/>
              </w:rPr>
              <w:t xml:space="preserve">18</w:t>
            </w:r>
            <w:r>
              <w:rPr>
                <w:rFonts w:ascii="Times New Roman" w:hAnsi="Times New Roman"/>
                <w:sz w:val="20"/>
              </w:rPr>
              <w:t xml:space="preserve"> or over to person under </w:t>
            </w:r>
            <w:r>
              <w:t>((</w:t>
            </w:r>
            <w:r>
              <w:rPr>
                <w:rFonts w:ascii="Times New Roman" w:hAnsi="Times New Roman"/>
                <w:strike/>
                <w:sz w:val="20"/>
              </w:rPr>
              <w:t xml:space="preserve">eighteen</w:t>
            </w:r>
            <w:r>
              <w:t>))</w:t>
            </w:r>
            <w:r>
              <w:rPr>
                <w:rFonts w:ascii="Times New Roman" w:hAnsi="Times New Roman"/>
                <w:sz w:val="20"/>
              </w:rPr>
              <w:t xml:space="preserve"> </w:t>
            </w:r>
            <w:r>
              <w:rPr>
                <w:rFonts w:ascii="Times New Roman" w:hAnsi="Times New Roman"/>
                <w:sz w:val="20"/>
                <w:u w:val="single"/>
              </w:rPr>
              <w:t xml:space="preserve">18</w:t>
            </w:r>
            <w:r>
              <w:rPr>
                <w:rFonts w:ascii="Times New Roman" w:hAnsi="Times New Roman"/>
                <w:sz w:val="20"/>
              </w:rPr>
              <w:t xml:space="preserve"> (RCW 69.52.030(2))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Involving a minor in drug dealing (RCW 69.50.4015)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heroin, methamphetamine, a narcotic from Schedule I or II, or flunitrazepam from Schedule IV to someone under 18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narcotic from Schedule III, IV, or V or a nonnarcotic, except flunitrazepam or methamphetamine, from Schedule I-V to someone under 18 and </w:t>
            </w:r>
            <w:r>
              <w:t>((</w:t>
            </w:r>
            <w:r>
              <w:rPr>
                <w:rFonts w:ascii="Times New Roman" w:hAnsi="Times New Roman"/>
                <w:strike/>
                <w:sz w:val="20"/>
              </w:rPr>
              <w:t xml:space="preserve">3</w:t>
            </w:r>
            <w:r>
              <w:t>))</w:t>
            </w:r>
            <w:r>
              <w:rPr>
                <w:rFonts w:ascii="Times New Roman" w:hAnsi="Times New Roman"/>
                <w:sz w:val="20"/>
              </w:rPr>
              <w:t xml:space="preserve"> </w:t>
            </w:r>
            <w:r>
              <w:rPr>
                <w:rFonts w:ascii="Times New Roman" w:hAnsi="Times New Roman"/>
                <w:sz w:val="20"/>
                <w:u w:val="single"/>
              </w:rPr>
              <w:t xml:space="preserve">three</w:t>
            </w:r>
            <w:r>
              <w:rPr>
                <w:rFonts w:ascii="Times New Roman" w:hAnsi="Times New Roman"/>
                <w:sz w:val="20"/>
              </w:rPr>
              <w:t xml:space="preserve"> years junior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Ephedrine, Pseudoephedrine, or Anhydrous Ammonia with intent to manufacture methamphetamine (RCW 69.50.440)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Selling for profit (controlled or counterfeit) any controlled substance (RCW 69.50.410)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Create or deliver a counterfeit controlled substance (RCW 69.50.4011(1)(a))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 or possess with intent to deliver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a material in lieu of a controlled substance (RCW 69.50.4012)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Maintaining a Dwelling or Place for Controlled Substances (RCW 69.50.402(1)(f))</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 or II or flunitrazepam from Schedule IV (RCW 69.50.401(2)(a))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III, IV, or V or nonnarcotics from Schedule I-V (except marijuana, amphetamine, methamphetamines, or flunitrazepam) (RCW 69.50.401(2) (c) through (e))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distribute, or possess with intent to distribute an imitation controlled substance (RCW 69.52.030(1))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(RCW 69.41.020)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for a Controlled Substance (RCW 69.50.403)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marijuana (RCW 69.50.401(2)(c))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Possession of Fentanyl (RCW 69.50.4013(2)(b))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Building for Drug Purposes (RCW 69.53.010)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115</w:t>
      </w:r>
      <w:r>
        <w:rPr/>
        <w:t xml:space="preserve"> and 2021 c 311 s 13 are each amended to read as follows:</w:t>
      </w:r>
    </w:p>
    <w:p>
      <w:pPr>
        <w:spacing w:before="0" w:after="0" w:line="408" w:lineRule="exact"/>
        <w:ind w:left="0" w:right="0" w:firstLine="576"/>
        <w:jc w:val="left"/>
      </w:pPr>
      <w:r>
        <w:rPr/>
        <w:t xml:space="preserve">(1) </w:t>
      </w:r>
      <w:r>
        <w:t>((</w:t>
      </w:r>
      <w:r>
        <w:rPr>
          <w:strike/>
        </w:rPr>
        <w:t xml:space="preserve">For</w:t>
      </w:r>
      <w:r>
        <w:t>))</w:t>
      </w:r>
      <w:r>
        <w:rPr/>
        <w:t xml:space="preserve"> </w:t>
      </w:r>
      <w:r>
        <w:rPr>
          <w:u w:val="single"/>
        </w:rPr>
        <w:t xml:space="preserve">Except as provided in subsection (3) of this section, for</w:t>
      </w:r>
      <w:r>
        <w:rPr/>
        <w:t xml:space="preserve"> all individuals who otherwise would be subject to arrest for possession of a counterfeit substance under RCW 69.50.4011, possession of a controlled substance under RCW 69.50.4013, possession of 40 grams or less of marijuana under RCW 69.50.4014, or possession of a legend drug under RCW 69.41.030(2)(b), in lieu of jail booking and referral to the prosecutor, law enforcement shall offer a referral to assessment and services available pursuant to RCW 10.31.110 or other program or entity responsible for receiving referrals in lieu of legal system involvement, which may include the recovery navigator program established under RCW 71.24.115.</w:t>
      </w:r>
    </w:p>
    <w:p>
      <w:pPr>
        <w:spacing w:before="0" w:after="0" w:line="408" w:lineRule="exact"/>
        <w:ind w:left="0" w:right="0" w:firstLine="576"/>
        <w:jc w:val="left"/>
      </w:pPr>
      <w:r>
        <w:rPr/>
        <w:t xml:space="preserve">(2) If law enforcement agency records reflect that an individual has been diverted to referral for assessment and services twice or more previously, officers may, but are not required to, make additional diversion efforts.</w:t>
      </w:r>
    </w:p>
    <w:p>
      <w:pPr>
        <w:spacing w:before="0" w:after="0" w:line="408" w:lineRule="exact"/>
        <w:ind w:left="0" w:right="0" w:firstLine="576"/>
        <w:jc w:val="left"/>
      </w:pPr>
      <w:r>
        <w:rPr/>
        <w:t xml:space="preserve">(3) </w:t>
      </w:r>
      <w:r>
        <w:rPr>
          <w:u w:val="single"/>
        </w:rPr>
        <w:t xml:space="preserve">The requirements in subsections (1) and (2) of this section do not apply to persons who are subject to arrest for possession of fentanyl under RCW 69.50.4013.</w:t>
      </w:r>
    </w:p>
    <w:p>
      <w:pPr>
        <w:spacing w:before="0" w:after="0" w:line="408" w:lineRule="exact"/>
        <w:ind w:left="0" w:right="0" w:firstLine="576"/>
        <w:jc w:val="left"/>
      </w:pPr>
      <w:r>
        <w:rPr>
          <w:u w:val="single"/>
        </w:rPr>
        <w:t xml:space="preserve">(4)</w:t>
      </w:r>
      <w:r>
        <w:rPr/>
        <w:t xml:space="preserve"> Nothing in this section precludes prosecutors from diverting or declining to file any charges for possession offenses that are referred under RCW 69.50.4011, 69.50.4013, 69.50.4014, or 69.41.030(2)(b) in the exercise of their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2021 c 311 s 16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Marihuana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Possession of Fentanyl (69.50.4013(2)(b))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r>
              <w:rPr>
                <w:rFonts w:ascii="Times New Roman" w:hAnsi="Times New Roman"/>
                <w:sz w:val="20"/>
                <w:u w:val="single"/>
              </w:rPr>
              <w:t xml:space="preserve">(2)(a)</w:t>
            </w:r>
            <w:r>
              <w:rPr>
                <w:rFonts w:ascii="Times New Roman" w:hAnsi="Times New Roman"/>
                <w:sz w:val="20"/>
              </w:rPr>
              <w:t xml:space="preserv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(9.41.040(2)(a)(vi))</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w:t>
      </w:r>
      <w:r>
        <w:t>((</w:t>
      </w:r>
      <w:r>
        <w:rPr>
          <w:strike/>
        </w:rPr>
        <w:t xml:space="preserve">fourteen</w:t>
      </w:r>
      <w:r>
        <w:t>))</w:t>
      </w:r>
      <w:r>
        <w:rPr/>
        <w:t xml:space="preserve"> </w:t>
      </w:r>
      <w:r>
        <w:rPr>
          <w:u w:val="single"/>
        </w:rPr>
        <w:t xml:space="preserve">14</w:t>
      </w:r>
      <w:r>
        <w:rPr/>
        <w:t xml:space="preserve">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and 5 of this act expire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2023.</w:t>
      </w:r>
    </w:p>
    <w:p/>
    <w:p>
      <w:pPr>
        <w:jc w:val="center"/>
      </w:pPr>
      <w:r>
        <w:rPr>
          <w:b/>
        </w:rPr>
        <w:t>--- END ---</w:t>
      </w:r>
    </w:p>
    <w:sectPr>
      <w:pgNumType w:start="1"/>
      <w:footerReference xmlns:r="http://schemas.openxmlformats.org/officeDocument/2006/relationships" r:id="R29e25a6f8db64c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acd019ada340b1" /><Relationship Type="http://schemas.openxmlformats.org/officeDocument/2006/relationships/footer" Target="/word/footer1.xml" Id="R29e25a6f8db64c2a" /></Relationships>
</file>