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4064226af45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Fey; by request of Department of Ecology</w:t>
      </w:r>
    </w:p>
    <w:p/>
    <w:p>
      <w:r>
        <w:rPr>
          <w:t xml:space="preserve">Read first time 01/12/22.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sustaining hydropower license fees; and amending RCW 90.16.050.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2016 c 75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that are subject to review for certification under section 401 of the federal clean water act,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(i)</w:t>
      </w:r>
      <w:r>
        <w:t>))</w:t>
      </w:r>
      <w:r>
        <w:rPr/>
        <w:t xml:space="preserve"> The progress report will: </w:t>
      </w:r>
      <w:r>
        <w:t>((</w:t>
      </w:r>
      <w:r>
        <w:rPr>
          <w:strike/>
        </w:rPr>
        <w:t xml:space="preserve">(A)</w:t>
      </w:r>
      <w:r>
        <w:t>))</w:t>
      </w:r>
      <w:r>
        <w:rPr/>
        <w:t xml:space="preserve"> </w:t>
      </w:r>
      <w:r>
        <w:rPr>
          <w:u w:val="single"/>
        </w:rPr>
        <w:t xml:space="preserve">(i)</w:t>
      </w:r>
      <w:r>
        <w:rPr/>
        <w:t xml:space="preserve"> Describe how license fees and other funds used for the work of the licensing program were expended in direct support of the federal energy regulatory commission licensing process and license implementation during the current biennium, and expected workload and full-time equivalent employees for federal energy regulatory commission licensing in the next biennium.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and staff time associated with each hydropower project during the time period immediately prior to license issuance process, the program costs and staff time deriving from the issuance or reissuance of a license to each hydropower project, and the program costs and staff time associated with license implementation after the issuance or reissuance of a license to a hydropower project. This program cost and staff time information must be collected beginning July 1, 2016, and included in biennial reports addressing program years 2016 or later. The report must also include an estimate of the total workload, program costs, and staff time for work associated with either certification under section 401 of the federal clean water act or license implementation for federally licensed hydropower projects expected to occur in the next reporting period, or both. In addition, the report must provide sufficient information to determine that the fees charged are not for activities already performed by other state or federal agencies or tribes that have jurisdiction over a specific license requirement and that duplicative work and expense is avoided; </w:t>
      </w:r>
      <w:r>
        <w:t>((</w:t>
      </w:r>
      <w:r>
        <w:rPr>
          <w:strike/>
        </w:rPr>
        <w:t xml:space="preserve">(B)</w:t>
      </w:r>
      <w:r>
        <w:t>))</w:t>
      </w:r>
      <w:r>
        <w:rPr/>
        <w:t xml:space="preserve"> </w:t>
      </w:r>
      <w:r>
        <w:rPr>
          <w:u w:val="single"/>
        </w:rPr>
        <w:t xml:space="preserve">(ii)</w:t>
      </w:r>
      <w:r>
        <w:rPr/>
        <w:t xml:space="preserve"> include any recommendations based on consultation with the departments of ecology and fish and wildlife, hydropower project operators, and other interested parties; and </w:t>
      </w:r>
      <w:r>
        <w:t>((</w:t>
      </w:r>
      <w:r>
        <w:rPr>
          <w:strike/>
        </w:rPr>
        <w:t xml:space="preserve">(C)</w:t>
      </w:r>
      <w:r>
        <w:t>))</w:t>
      </w:r>
      <w:r>
        <w:rPr/>
        <w:t xml:space="preserve"> </w:t>
      </w:r>
      <w:r>
        <w:rPr>
          <w:u w:val="single"/>
        </w:rPr>
        <w:t xml:space="preserve">(iii)</w:t>
      </w:r>
      <w:r>
        <w:rPr/>
        <w:t xml:space="preserve"> recognize hydropower operators that exceed their environmental regulatory requirements.</w:t>
      </w:r>
    </w:p>
    <w:p>
      <w:pPr>
        <w:spacing w:before="0" w:after="0" w:line="408" w:lineRule="exact"/>
        <w:ind w:left="0" w:right="0" w:firstLine="576"/>
        <w:jc w:val="left"/>
      </w:pPr>
      <w:r>
        <w:t>((</w:t>
      </w:r>
      <w:r>
        <w:rPr>
          <w:strike/>
        </w:rPr>
        <w:t xml:space="preserve">(ii) The fees required in (b) of this subsection expire June 30, 2023. The biennial progress reports submitted by the department of ecology will serve as a record for considering the extension of the fee structure in (b) of this subsection.</w:t>
      </w:r>
      <w:r>
        <w:t>))</w:t>
      </w:r>
    </w:p>
    <w:p>
      <w:pPr>
        <w:spacing w:before="0" w:after="0" w:line="408" w:lineRule="exact"/>
        <w:ind w:left="0" w:right="0" w:firstLine="576"/>
        <w:jc w:val="left"/>
      </w:pPr>
      <w:r>
        <w:rPr>
          <w:u w:val="single"/>
        </w:rPr>
        <w:t xml:space="preserve">(d) The fees required in (b) of this subsection expire June 30, 2029. The biennial program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t xml:space="preserve">(a)(i) Both the department of ecology and the department of fish and wildlife must be responsible for producing an annual work plan that addresses the work anticipated to be completed by each department associated with federal hydropower licensing and license implementation.</w:t>
      </w:r>
    </w:p>
    <w:p>
      <w:pPr>
        <w:spacing w:before="0" w:after="0" w:line="408" w:lineRule="exact"/>
        <w:ind w:left="0" w:right="0" w:firstLine="576"/>
        <w:jc w:val="left"/>
      </w:pPr>
      <w:r>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w:t>
      </w:r>
      <w:r>
        <w:t>((</w:t>
      </w:r>
      <w:r>
        <w:rPr>
          <w:strike/>
        </w:rPr>
        <w:t xml:space="preserve">(i)</w:t>
      </w:r>
      <w:r>
        <w:t>))</w:t>
      </w:r>
      <w:r>
        <w:rPr/>
        <w:t xml:space="preserve"> of this section.</w:t>
      </w:r>
    </w:p>
    <w:p>
      <w:pPr>
        <w:spacing w:before="0" w:after="0" w:line="408" w:lineRule="exact"/>
        <w:ind w:left="0" w:right="0" w:firstLine="576"/>
        <w:jc w:val="left"/>
      </w:pPr>
      <w:r>
        <w:rPr/>
        <w:t xml:space="preserve">(c) Prior to the annual meeting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w:t>
      </w:r>
      <w:r>
        <w:t>((</w:t>
      </w:r>
      <w:r>
        <w:rPr>
          <w:strike/>
        </w:rPr>
        <w:t xml:space="preserve">(i)</w:t>
      </w:r>
      <w:r>
        <w:t>))</w:t>
      </w:r>
      <w:r>
        <w:rPr/>
        <w:t xml:space="preserve">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p>
    <w:p/>
    <w:p>
      <w:pPr>
        <w:jc w:val="center"/>
      </w:pPr>
      <w:r>
        <w:rPr>
          <w:b/>
        </w:rPr>
        <w:t>--- END ---</w:t>
      </w:r>
    </w:p>
    <w:sectPr>
      <w:pgNumType w:start="1"/>
      <w:footerReference xmlns:r="http://schemas.openxmlformats.org/officeDocument/2006/relationships" r:id="R6954a52316644b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821c9e40e4e9d" /><Relationship Type="http://schemas.openxmlformats.org/officeDocument/2006/relationships/footer" Target="/word/footer1.xml" Id="R6954a52316644b10" /></Relationships>
</file>