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e65686059149fe" /></Relationships>
</file>

<file path=word/document.xml><?xml version="1.0" encoding="utf-8"?>
<w:document xmlns:w="http://schemas.openxmlformats.org/wordprocessingml/2006/main">
  <w:body>
    <w:p>
      <w:r>
        <w:t>H-2115.1</w:t>
      </w:r>
    </w:p>
    <w:p>
      <w:pPr>
        <w:jc w:val="center"/>
      </w:pPr>
      <w:r>
        <w:t>_______________________________________________</w:t>
      </w:r>
    </w:p>
    <w:p/>
    <w:p>
      <w:pPr>
        <w:jc w:val="center"/>
      </w:pPr>
      <w:r>
        <w:rPr>
          <w:b/>
        </w:rPr>
        <w:t>HOUSE BILL 1994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Young, Sutherland, and Jacobsen</w:t>
      </w:r>
    </w:p>
    <w:p/>
    <w:p>
      <w:r>
        <w:rPr>
          <w:t xml:space="preserve">Read first time 01/14/22.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involving catalytic converter theft; amending RCW 9A.56.040, 9.94A.515, and 9.94A.515; reenacting and amending RCW 9.94A.533; adding a new section to chapter 9.94A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040</w:t>
      </w:r>
      <w:r>
        <w:rPr/>
        <w:t xml:space="preserve"> and 2017 c 266 s 11 are each amended to read as follows:</w:t>
      </w:r>
    </w:p>
    <w:p>
      <w:pPr>
        <w:spacing w:before="0" w:after="0" w:line="408" w:lineRule="exact"/>
        <w:ind w:left="0" w:right="0" w:firstLine="576"/>
        <w:jc w:val="left"/>
      </w:pPr>
      <w:r>
        <w:rPr/>
        <w:t xml:space="preserve">(1) Except as provided in RCW 9A.56.400, a person is guilty of theft in the second degree if he or she commits theft of:</w:t>
      </w:r>
    </w:p>
    <w:p>
      <w:pPr>
        <w:spacing w:before="0" w:after="0" w:line="408" w:lineRule="exact"/>
        <w:ind w:left="0" w:right="0" w:firstLine="576"/>
        <w:jc w:val="left"/>
      </w:pPr>
      <w:r>
        <w:rPr/>
        <w:t xml:space="preserve">(a) Property or services which exceed(s) </w:t>
      </w:r>
      <w:r>
        <w:t>((</w:t>
      </w:r>
      <w:r>
        <w:rPr>
          <w:strike/>
        </w:rPr>
        <w:t xml:space="preserve">seven hundred fifty dollars</w:t>
      </w:r>
      <w:r>
        <w:t>))</w:t>
      </w:r>
      <w:r>
        <w:rPr/>
        <w:t xml:space="preserve"> </w:t>
      </w:r>
      <w:r>
        <w:rPr>
          <w:u w:val="single"/>
        </w:rPr>
        <w:t xml:space="preserve">$750</w:t>
      </w:r>
      <w:r>
        <w:rPr/>
        <w:t xml:space="preserve"> in value but does not exceed </w:t>
      </w:r>
      <w:r>
        <w:t>((</w:t>
      </w:r>
      <w:r>
        <w:rPr>
          <w:strike/>
        </w:rPr>
        <w:t xml:space="preserve">five thousand dollars</w:t>
      </w:r>
      <w:r>
        <w:t>))</w:t>
      </w:r>
      <w:r>
        <w:rPr/>
        <w:t xml:space="preserve"> </w:t>
      </w:r>
      <w:r>
        <w:rPr>
          <w:u w:val="single"/>
        </w:rPr>
        <w:t xml:space="preserve">$5,000</w:t>
      </w:r>
      <w:r>
        <w:rPr/>
        <w:t xml:space="preserve"> in value, other than a firearm as defined in RCW 9.41.010 or a motor vehicle;</w:t>
      </w:r>
    </w:p>
    <w:p>
      <w:pPr>
        <w:spacing w:before="0" w:after="0" w:line="408" w:lineRule="exact"/>
        <w:ind w:left="0" w:right="0" w:firstLine="576"/>
        <w:jc w:val="left"/>
      </w:pPr>
      <w:r>
        <w:rPr/>
        <w:t xml:space="preserve">(b) A public record, writing, or instrument kept, filed, or deposited according to law with or in the keeping of any public office or public servant;</w:t>
      </w:r>
    </w:p>
    <w:p>
      <w:pPr>
        <w:spacing w:before="0" w:after="0" w:line="408" w:lineRule="exact"/>
        <w:ind w:left="0" w:right="0" w:firstLine="576"/>
        <w:jc w:val="left"/>
      </w:pPr>
      <w:r>
        <w:rPr/>
        <w:t xml:space="preserve">(c) Commercial metal property, nonferrous metal property, or private metal property, as those terms are defined in RCW 19.290.010, and the costs of the damage to the owner's property exceed </w:t>
      </w:r>
      <w:r>
        <w:t>((</w:t>
      </w:r>
      <w:r>
        <w:rPr>
          <w:strike/>
        </w:rPr>
        <w:t xml:space="preserve">seven hundred fifty dollars</w:t>
      </w:r>
      <w:r>
        <w:t>))</w:t>
      </w:r>
      <w:r>
        <w:rPr/>
        <w:t xml:space="preserve"> </w:t>
      </w:r>
      <w:r>
        <w:rPr>
          <w:u w:val="single"/>
        </w:rPr>
        <w:t xml:space="preserve">$750</w:t>
      </w:r>
      <w:r>
        <w:rPr/>
        <w:t xml:space="preserve"> but does not exceed </w:t>
      </w:r>
      <w:r>
        <w:t>((</w:t>
      </w:r>
      <w:r>
        <w:rPr>
          <w:strike/>
        </w:rPr>
        <w:t xml:space="preserve">five thousand dollars</w:t>
      </w:r>
      <w:r>
        <w:t>))</w:t>
      </w:r>
      <w:r>
        <w:rPr/>
        <w:t xml:space="preserve"> </w:t>
      </w:r>
      <w:r>
        <w:rPr>
          <w:u w:val="single"/>
        </w:rPr>
        <w:t xml:space="preserve">$5,000</w:t>
      </w:r>
      <w:r>
        <w:rPr/>
        <w:t xml:space="preserve"> in value; or</w:t>
      </w:r>
    </w:p>
    <w:p>
      <w:pPr>
        <w:spacing w:before="0" w:after="0" w:line="408" w:lineRule="exact"/>
        <w:ind w:left="0" w:right="0" w:firstLine="576"/>
        <w:jc w:val="left"/>
      </w:pPr>
      <w:r>
        <w:rPr/>
        <w:t xml:space="preserve">(d) An access device.</w:t>
      </w:r>
    </w:p>
    <w:p>
      <w:pPr>
        <w:spacing w:before="0" w:after="0" w:line="408" w:lineRule="exact"/>
        <w:ind w:left="0" w:right="0" w:firstLine="576"/>
        <w:jc w:val="left"/>
      </w:pPr>
      <w:r>
        <w:rPr/>
        <w:t xml:space="preserve">(2) </w:t>
      </w:r>
      <w:r>
        <w:t>((</w:t>
      </w:r>
      <w:r>
        <w:rPr>
          <w:strike/>
        </w:rPr>
        <w:t xml:space="preserve">Theft</w:t>
      </w:r>
      <w:r>
        <w:t>))</w:t>
      </w:r>
      <w:r>
        <w:rPr/>
        <w:t xml:space="preserve"> </w:t>
      </w:r>
      <w:r>
        <w:rPr>
          <w:u w:val="single"/>
        </w:rPr>
        <w:t xml:space="preserve">Except as provided in subsection (3) of this section, theft</w:t>
      </w:r>
      <w:r>
        <w:rPr/>
        <w:t xml:space="preserve"> in the second degree is a class C felony.</w:t>
      </w:r>
    </w:p>
    <w:p>
      <w:pPr>
        <w:spacing w:before="0" w:after="0" w:line="408" w:lineRule="exact"/>
        <w:ind w:left="0" w:right="0" w:firstLine="576"/>
        <w:jc w:val="left"/>
      </w:pPr>
      <w:r>
        <w:rPr>
          <w:u w:val="single"/>
        </w:rPr>
        <w:t xml:space="preserve">(3) A second or subsequent violation of subsection (1)(c) of this section is a class B felony. For the purposes of this subsection, a first violation includes a conviction for a violation of RCW 9A.56.050 or an equivalent local ordinance if the conviction is the result of a charge that was originally filed as a violation of subsection (1)(c)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Theft 2 (second or subsequent offense) (commercial metal property, nonferrous metal property, or private metal property, and the damage to the owner's property exceeds $750 but does not exceed $5,000) (RCW 9A.56.040(3))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Theft 2 (commercial metal property, nonferrous metal property, or private metal property, and the damage to the owner's property exceeds $750 but does not exceed $5,000) (RCW 9A.56.040(1)(c))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w:t>
            </w:r>
            <w:r>
              <w:rPr>
                <w:rFonts w:ascii="Times New Roman" w:hAnsi="Times New Roman"/>
                <w:sz w:val="20"/>
                <w:u w:val="single"/>
              </w:rPr>
              <w:t xml:space="preserve">(valued at $750 or more but less than $5,000, and other than a firearm or motor vehicle; a public record, writing, or instrument kept, filed, or deposited according to law with or in the keeping of any public office or public servant; or an access device)</w:t>
            </w:r>
            <w:r>
              <w:rPr>
                <w:rFonts w:ascii="Times New Roman" w:hAnsi="Times New Roman"/>
                <w:sz w:val="20"/>
              </w:rPr>
              <w:t xml:space="preserve"> (RCW 9A.56.040</w:t>
            </w:r>
            <w:r>
              <w:rPr>
                <w:rFonts w:ascii="Times New Roman" w:hAnsi="Times New Roman"/>
                <w:sz w:val="20"/>
                <w:u w:val="single"/>
              </w:rPr>
              <w:t xml:space="preserve">(1) (a), (b), or (d)</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2021 c 215 s 99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Theft 2 (second or subsequent offense) (commercial metal property, nonferrous metal property, or private metal property, and the damage to the owner's property exceeds $750 but does not exceed $5,000) (RCW 9A.56.040(3))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Theft 2 (commercial metal property, nonferrous metal property, or private metal property, and the damage to the owner's property exceeds $750 but does not exceed $5,000) (RCW 9A.56.040(1)(c))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w:t>
            </w:r>
            <w:r>
              <w:rPr>
                <w:rFonts w:ascii="Times New Roman" w:hAnsi="Times New Roman"/>
                <w:sz w:val="20"/>
                <w:u w:val="single"/>
              </w:rPr>
              <w:t xml:space="preserve">(valued at $750 or more but less than $5,000, and other than a firearm or motor vehicle; a public record, writing, or instrument kept, filed, or deposited according to law with or in the keeping of any public office or public servant; or an access device)</w:t>
            </w:r>
            <w:r>
              <w:rPr>
                <w:rFonts w:ascii="Times New Roman" w:hAnsi="Times New Roman"/>
                <w:sz w:val="20"/>
              </w:rPr>
              <w:t xml:space="preserve"> (RCW 9A.56.040</w:t>
            </w:r>
            <w:r>
              <w:rPr>
                <w:rFonts w:ascii="Times New Roman" w:hAnsi="Times New Roman"/>
                <w:sz w:val="20"/>
                <w:u w:val="single"/>
              </w:rPr>
              <w:t xml:space="preserve">(1) (a), (b), or (d)</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a criminal case where:</w:t>
      </w:r>
    </w:p>
    <w:p>
      <w:pPr>
        <w:spacing w:before="0" w:after="0" w:line="408" w:lineRule="exact"/>
        <w:ind w:left="0" w:right="0" w:firstLine="576"/>
        <w:jc w:val="left"/>
      </w:pPr>
      <w:r>
        <w:rPr/>
        <w:t xml:space="preserve">(1) The defendant has been convicted of theft in the second degree; and</w:t>
      </w:r>
    </w:p>
    <w:p>
      <w:pPr>
        <w:spacing w:before="0" w:after="0" w:line="408" w:lineRule="exact"/>
        <w:ind w:left="0" w:right="0" w:firstLine="576"/>
        <w:jc w:val="left"/>
      </w:pPr>
      <w:r>
        <w:rPr/>
        <w:t xml:space="preserve">(2) There has been a special allegation pleaded and proven beyond a reasonable doubt that, during the commission of the theft, the defendant engaged in a confrontation with the property owner or a third party attempting to prevent the theft from occurring;</w:t>
      </w:r>
    </w:p>
    <w:p>
      <w:pPr>
        <w:spacing w:before="0" w:after="0" w:line="408" w:lineRule="exact"/>
        <w:ind w:left="0" w:right="0" w:firstLine="0"/>
        <w:jc w:val="left"/>
      </w:pPr>
      <w:r>
        <w:rPr/>
        <w:t xml:space="preserve">the court shall make a finding of fact of the special allegation, or if a jury is had, the jury shall, if it finds the defendant guilty, also find a special verdict as to the special allegation.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w:t>
      </w:r>
      <w:r>
        <w:t>((</w:t>
      </w:r>
      <w:r>
        <w:rPr>
          <w:strike/>
        </w:rPr>
        <w:t xml:space="preserve">eighteen</w:t>
      </w:r>
      <w:r>
        <w:t>))</w:t>
      </w:r>
      <w:r>
        <w:rPr/>
        <w:t xml:space="preserve"> </w:t>
      </w:r>
      <w:r>
        <w:rPr>
          <w:u w:val="single"/>
        </w:rPr>
        <w:t xml:space="preserve">18</w:t>
      </w:r>
      <w:r>
        <w:rPr/>
        <w:t xml:space="preserve">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w:t>
      </w:r>
      <w:r>
        <w:t>((</w:t>
      </w:r>
      <w:r>
        <w:rPr>
          <w:strike/>
        </w:rPr>
        <w:t xml:space="preserve">one hundred twenty-five</w:t>
      </w:r>
      <w:r>
        <w:t>))</w:t>
      </w:r>
      <w:r>
        <w:rPr/>
        <w:t xml:space="preserve"> </w:t>
      </w:r>
      <w:r>
        <w:rPr>
          <w:u w:val="single"/>
        </w:rPr>
        <w:t xml:space="preserve">125</w:t>
      </w:r>
      <w:r>
        <w:rPr/>
        <w:t xml:space="preser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rPr/>
        <w:t xml:space="preserve">(13)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rPr/>
        <w:t xml:space="preserve">(15) </w:t>
      </w:r>
      <w:r>
        <w:rPr>
          <w:u w:val="single"/>
        </w:rPr>
        <w:t xml:space="preserve">An additional 12 months shall be added to the standard sentence range for an offense that is also a violation of section 4 of this act.</w:t>
      </w:r>
    </w:p>
    <w:p>
      <w:pPr>
        <w:spacing w:before="0" w:after="0" w:line="408" w:lineRule="exact"/>
        <w:ind w:left="0" w:right="0" w:firstLine="576"/>
        <w:jc w:val="left"/>
      </w:pPr>
      <w:r>
        <w:rPr>
          <w:u w:val="single"/>
        </w:rPr>
        <w:t xml:space="preserve">(16)</w:t>
      </w:r>
      <w:r>
        <w:rPr/>
        <w:t xml:space="preserve"> Regardless of any provisions in this section, if a person is being sentenced in adult court for a crime committed under age </w:t>
      </w:r>
      <w:r>
        <w:t>((</w:t>
      </w:r>
      <w:r>
        <w:rPr>
          <w:strike/>
        </w:rPr>
        <w:t xml:space="preserve">eighteen</w:t>
      </w:r>
      <w:r>
        <w:t>))</w:t>
      </w:r>
      <w:r>
        <w:rPr/>
        <w:t xml:space="preserve"> </w:t>
      </w:r>
      <w:r>
        <w:rPr>
          <w:u w:val="single"/>
        </w:rPr>
        <w:t xml:space="preserve">18</w:t>
      </w:r>
      <w:r>
        <w:rPr/>
        <w:t xml:space="preserve">,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
      <w:pPr>
        <w:jc w:val="center"/>
      </w:pPr>
      <w:r>
        <w:rPr>
          <w:b/>
        </w:rPr>
        <w:t>--- END ---</w:t>
      </w:r>
    </w:p>
    <w:sectPr>
      <w:pgNumType w:start="1"/>
      <w:footerReference xmlns:r="http://schemas.openxmlformats.org/officeDocument/2006/relationships" r:id="Re6f060dfcc0a43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f19cdc7f2f4b32" /><Relationship Type="http://schemas.openxmlformats.org/officeDocument/2006/relationships/footer" Target="/word/footer1.xml" Id="Re6f060dfcc0a4353" /></Relationships>
</file>