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3db4ea0ccc4d0a" /></Relationships>
</file>

<file path=word/document.xml><?xml version="1.0" encoding="utf-8"?>
<w:document xmlns:w="http://schemas.openxmlformats.org/wordprocessingml/2006/main">
  <w:body>
    <w:p>
      <w:r>
        <w:t>H-2127.1</w:t>
      </w:r>
    </w:p>
    <w:p>
      <w:pPr>
        <w:jc w:val="center"/>
      </w:pPr>
      <w:r>
        <w:t>_______________________________________________</w:t>
      </w:r>
    </w:p>
    <w:p/>
    <w:p>
      <w:pPr>
        <w:jc w:val="center"/>
      </w:pPr>
      <w:r>
        <w:rPr>
          <w:b/>
        </w:rPr>
        <w:t>HOUSE BILL 2004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Dufault and Schmick</w:t>
      </w:r>
    </w:p>
    <w:p/>
    <w:p>
      <w:r>
        <w:rPr>
          <w:t xml:space="preserve">Read first time 01/17/22.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spoken language interpreters for medical appointments when the original spoken language interpreter fails to appear; and amending RCW 39.26.300.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300</w:t>
      </w:r>
      <w:r>
        <w:rPr/>
        <w:t xml:space="preserve"> and 2019 c 266 s 24 are each amended to read as follows:</w:t>
      </w:r>
    </w:p>
    <w:p>
      <w:pPr>
        <w:spacing w:before="0" w:after="0" w:line="408" w:lineRule="exact"/>
        <w:ind w:left="0" w:right="0" w:firstLine="576"/>
        <w:jc w:val="left"/>
      </w:pPr>
      <w:r>
        <w:rPr/>
        <w:t xml:space="preserve">(1) The department of social and health services, the department of children, youth, and families,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No later than September 1, 2020, the department of social and health services, the department of children, youth, and families, the health care authority, and the department of labor and industries must purchase in-person spoken language interpreter services directly from language access providers as defined in RCW 74.04.025, or through limited contracts with scheduling and coordinating delivery organizations, or both. Each state agency must have at least one contract with an entity that provides interpreter services through telephonic and video remote technologies. Nothing in this section precludes the department of labor and industries from purchasing in-person spoken language interpreter services directly from language access providers or from directly reimbursing language access providers.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June 7, 2018,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department of children, youth, and families, the health care authority, and the department of labor and industries as provided in subsection (3) of this section. The department of social and health services, the department of children, youth, and families,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w:t>
      </w:r>
      <w:r>
        <w:rPr>
          <w:u w:val="single"/>
        </w:rPr>
        <w:t xml:space="preserve">For medical appointments, if a spoken language interpreter assigned by a contractor procured under this section fails to appear for a scheduled appointment, the medical provider may provide its own spoken language interpreter. If a medical provider provides a spoken language interpreter under this subsection, the medical provider shall be reimbursed by the relevant state agency at the same rate as the contractor that assigned the original spoken language interpreter that failed to appear. If any part of this subsection conflicts with the provisions of chapter 41.56 RCW, this subsection shall control.</w:t>
      </w:r>
    </w:p>
    <w:p>
      <w:pPr>
        <w:spacing w:before="0" w:after="0" w:line="408" w:lineRule="exact"/>
        <w:ind w:left="0" w:right="0" w:firstLine="576"/>
        <w:jc w:val="left"/>
      </w:pPr>
      <w:r>
        <w:rPr>
          <w:u w:val="single"/>
        </w:rPr>
        <w:t xml:space="preserve">(8)</w:t>
      </w:r>
      <w:r>
        <w:rPr/>
        <w:t xml:space="preserve"> Nothing in this section is intended to address how state agencies procure interpreters for sensory-impaired persons.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Washington center for deaf and hard of hearing youth.</w:t>
      </w:r>
    </w:p>
    <w:p/>
    <w:p>
      <w:pPr>
        <w:jc w:val="center"/>
      </w:pPr>
      <w:r>
        <w:rPr>
          <w:b/>
        </w:rPr>
        <w:t>--- END ---</w:t>
      </w:r>
    </w:p>
    <w:sectPr>
      <w:pgNumType w:start="1"/>
      <w:footerReference xmlns:r="http://schemas.openxmlformats.org/officeDocument/2006/relationships" r:id="R67f745867a5549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033aef47994971" /><Relationship Type="http://schemas.openxmlformats.org/officeDocument/2006/relationships/footer" Target="/word/footer1.xml" Id="R67f745867a554923" /></Relationships>
</file>