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e56a93a5da420c" /></Relationships>
</file>

<file path=word/document.xml><?xml version="1.0" encoding="utf-8"?>
<w:document xmlns:w="http://schemas.openxmlformats.org/wordprocessingml/2006/main">
  <w:body>
    <w:p>
      <w:r>
        <w:t>H-2960.1</w:t>
      </w:r>
    </w:p>
    <w:p>
      <w:pPr>
        <w:jc w:val="center"/>
      </w:pPr>
      <w:r>
        <w:t>_______________________________________________</w:t>
      </w:r>
    </w:p>
    <w:p/>
    <w:p>
      <w:pPr>
        <w:jc w:val="center"/>
      </w:pPr>
      <w:r>
        <w:rPr>
          <w:b/>
        </w:rPr>
        <w:t>HOUSE CONCURRENT RESOLUTION 4408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Sullivan and Kretz</w:t>
      </w:r>
    </w:p>
    <w:p/>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2022 Regular Session of the Sixty-seventh Legislature:</w:t>
      </w:r>
    </w:p>
    <w:p>
      <w:pPr>
        <w:spacing w:before="0" w:after="0" w:line="408" w:lineRule="exact"/>
        <w:ind w:left="0" w:right="0" w:firstLine="576"/>
        <w:jc w:val="left"/>
      </w:pPr>
      <w:r>
        <w:rPr/>
        <w:t xml:space="preserve">(1)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(2)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BE IT FURTHER RESOLVED, That the Chief Clerk of the House of Representatives and the Secretary of the Senate shall retain in their possession and in the status that exists upon the adjournment SINE DIE of the 2022 Regular Session of the Sixty-seventh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Sixty-seventh Legislature shall be numbered as a continuation of the numbers assigned to measures of the 2022 Regular Session of the Sixty-seventh Legislature.</w:t>
      </w:r>
    </w:p>
    <w:sectPr>
      <w:pgNumType w:start="1"/>
      <w:footerReference xmlns:r="http://schemas.openxmlformats.org/officeDocument/2006/relationships" r:id="Rb2720bf5d97c489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50036dc0e04c7e" /><Relationship Type="http://schemas.openxmlformats.org/officeDocument/2006/relationships/footer" Target="/word/footer1.xml" Id="Rb2720bf5d97c4892" /></Relationships>
</file>