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918f085a345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1072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2021</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Lekanoff, Valdez, Wylie, Simmons, Kloba, Gregerson, Santos, Macri, and Pollet</w:t>
      </w:r>
    </w:p>
    <w:p/>
    <w:p>
      <w:r>
        <w:rPr>
          <w:t xml:space="preserve">Prefiled 01/04/21.</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only one of the restrictions on the use of civil legal aid funds; and amending RCW 2.53.030.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2018 c 21 s 2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The legislature further finds that the prevalence of civil legal problems experienced by low-income people in Washington state exceeds the capacity of the state-funded legal aid system to address. To ensure the most beneficial use of state resources, the legislature finds it appropriate to authorize legal assistance with respect to civil legal problems that directly affect important rights and basic needs of individual low-income residents and their families and to define certain limits on the use of state moneys appropriated for civil legal aid. Accordingly, moneys appropriated for civil legal aid pursuant to this section shall not be used for legal representation that is either outside the scope of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legal aid to indigent persons pursuant to this section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governmental assistance and services, (c) health care, (d) housing and utilities, (e) mortgage foreclosures, (f) consumer, financial services, credit, and bankruptcy, (g) employment, (h) rights of residents of long-term care facilities, (i) wills, estates, and living wills, (j) elder abuse, (k) guardianship, (l) disability rights, (m) education including special education, (n) administrative agency decisions, and (o) discrimination prohibited by local, state, or federal law.</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and meets generally accepted standards for the delivery of civil legal aid.</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w:t>
      </w:r>
      <w:r>
        <w:t>((</w:t>
      </w:r>
      <w:r>
        <w:rPr>
          <w:strike/>
        </w:rPr>
        <w:t xml:space="preserve">Representation of individuals who are in the United States without legal authority.</w:t>
      </w:r>
    </w:p>
    <w:p>
      <w:pPr>
        <w:spacing w:before="0" w:after="0" w:line="408" w:lineRule="exact"/>
        <w:ind w:left="0" w:right="0" w:firstLine="576"/>
        <w:jc w:val="left"/>
      </w:pPr>
      <w:r>
        <w:rPr>
          <w:strike/>
        </w:rPr>
        <w:t xml:space="preserve">(h)</w:t>
      </w:r>
      <w:r>
        <w:t>))</w:t>
      </w:r>
      <w:r>
        <w:rPr/>
        <w:t xml:space="preserve"> Picketing, demonstrations, strikes, or boycotts.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Conducting training programs that: (i) Advocate particular public policies; (ii) encourage or facilitate political activities, labor or antilabor activities, boycotts, picketing, strikes, or demonstrations; or (iii) attempt to influence legislation or rule making. Nothing in this subsection (5)</w:t>
      </w:r>
      <w:r>
        <w:t>((</w:t>
      </w:r>
      <w:r>
        <w:rPr>
          <w:strike/>
        </w:rPr>
        <w:t xml:space="preserve">(j)</w:t>
      </w:r>
      <w:r>
        <w:t>))</w:t>
      </w:r>
      <w:r>
        <w:rPr/>
        <w:t xml:space="preserve"> </w:t>
      </w:r>
      <w:r>
        <w:rPr>
          <w:u w:val="single"/>
        </w:rPr>
        <w:t xml:space="preserve">(i)</w:t>
      </w:r>
      <w:r>
        <w:rPr/>
        <w:t xml:space="preserve">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
      <w:pPr>
        <w:jc w:val="center"/>
      </w:pPr>
      <w:r>
        <w:rPr>
          <w:b/>
        </w:rPr>
        <w:t>--- END ---</w:t>
      </w:r>
    </w:p>
    <w:sectPr>
      <w:pgNumType w:start="1"/>
      <w:footerReference xmlns:r="http://schemas.openxmlformats.org/officeDocument/2006/relationships" r:id="Rc15b941b53214b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8c657d3d94a8a" /><Relationship Type="http://schemas.openxmlformats.org/officeDocument/2006/relationships/footer" Target="/word/footer1.xml" Id="Rc15b941b53214bd3" /></Relationships>
</file>