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20118ff05542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1091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2021</w:t>
            </w:r>
          </w:p>
          <w:p>
            <w:pPr>
              <w:ind w:left="0" w:right="0" w:firstLine="360"/>
            </w:pPr>
            <w:r>
              <w:t xml:space="preserve">Yeas </w:t>
              <w:t xml:space="preserve">54</w:t>
            </w:r>
            <w:r>
              <w:t xml:space="preserve">  Nays </w:t>
              <w:t xml:space="preserve">43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2021</w:t>
            </w:r>
          </w:p>
          <w:p>
            <w:pPr>
              <w:ind w:left="0" w:right="0" w:firstLine="360"/>
            </w:pPr>
            <w:r>
              <w:t xml:space="preserve">Yeas </w:t>
              <w:t xml:space="preserve">26</w:t>
            </w:r>
            <w:r>
              <w:t xml:space="preserve">  Nays </w:t>
              <w:t xml:space="preserve">23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THIRD SUBSTITUTE HOUSE BILL 1091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1091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Fitzgibbon, Slatter, Berry, Dolan, Bateman, Ramos, Simmons, Ramel, Senn, Peterson, Duerr, Ryu, Valdez, Callan, Kloba, Chopp, Ormsby, Frame, Macri, Pollet, Goodman, and Bergquist; by request of Office of the Governor)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by reducing the carbon intensity of transportation fuel; amending RCW 80.50.060, 46.17.365, 46.25.100, 46.20.202, 46.25.052, 46.25.060, 70A.15.3150, 70A.15.3160, 19.112.110, and 19.112.120; reenacting and amending RCW 80.50.020; adding a new section to chapter 82.04 RCW; adding a new section to chapter 43.21A RCW; adding a new chapter to Title 70A RCW; creating new sections; prescribing penalties;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 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California and Oregon have both implemented low carbon fuel standards that are similar to the program created in this act, and both states have experienced biofuel sector growth and have successfully sited large biofuel projects that had originally been planned for Washington.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2017, the transportation sector contributes 45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section 3 of this act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section 4 of this act;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section 4 of this act.</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2038 based on the following schedule:</w:t>
      </w:r>
    </w:p>
    <w:p>
      <w:pPr>
        <w:spacing w:before="0" w:after="0" w:line="408" w:lineRule="exact"/>
        <w:ind w:left="0" w:right="0" w:firstLine="576"/>
        <w:jc w:val="left"/>
      </w:pPr>
      <w:r>
        <w:rPr/>
        <w:t xml:space="preserve">(i) No more than 0.5 percent each year in 2023 and 2024;</w:t>
      </w:r>
    </w:p>
    <w:p>
      <w:pPr>
        <w:spacing w:before="0" w:after="0" w:line="408" w:lineRule="exact"/>
        <w:ind w:left="0" w:right="0" w:firstLine="576"/>
        <w:jc w:val="left"/>
      </w:pPr>
      <w:r>
        <w:rPr/>
        <w:t xml:space="preserve">(ii) No more than an additional one percent each year beginning in 2025 through 2027;</w:t>
      </w:r>
    </w:p>
    <w:p>
      <w:pPr>
        <w:spacing w:before="0" w:after="0" w:line="408" w:lineRule="exact"/>
        <w:ind w:left="0" w:right="0" w:firstLine="576"/>
        <w:jc w:val="left"/>
      </w:pPr>
      <w:r>
        <w:rPr/>
        <w:t xml:space="preserve">(iii) No more than an additional 1.5 percent each year beginning in 2028 through 2031; and</w:t>
      </w:r>
    </w:p>
    <w:p>
      <w:pPr>
        <w:spacing w:before="0" w:after="0" w:line="408" w:lineRule="exact"/>
        <w:ind w:left="0" w:right="0" w:firstLine="576"/>
        <w:jc w:val="left"/>
      </w:pPr>
      <w:r>
        <w:rPr/>
        <w:t xml:space="preserve">(iv) No change in 2032 and 2033.</w:t>
      </w:r>
    </w:p>
    <w:p>
      <w:pPr>
        <w:spacing w:before="0" w:after="0" w:line="408" w:lineRule="exact"/>
        <w:ind w:left="0" w:right="0" w:firstLine="576"/>
        <w:jc w:val="left"/>
      </w:pPr>
      <w:r>
        <w:rPr/>
        <w:t xml:space="preserve">(b) The rules must establish a start date for the clean fuels program of no later than January 1, 2023, except as provided in subsection (8) of this section.</w:t>
      </w:r>
    </w:p>
    <w:p>
      <w:pPr>
        <w:spacing w:before="0" w:after="0" w:line="408" w:lineRule="exact"/>
        <w:ind w:left="0" w:right="0" w:firstLine="576"/>
        <w:jc w:val="left"/>
      </w:pPr>
      <w:r>
        <w:rPr/>
        <w:t xml:space="preserve">(6) Beginning with the program year beginning in calendar year 2028, the department may not increase the carbon intensity reductions required by the applicable clean fuels program standard adopted by the department under subsection (5) of this section beyond a 10 percent reduction in carbon intensity until the department demonstrates that the following have occurred:</w:t>
      </w:r>
    </w:p>
    <w:p>
      <w:pPr>
        <w:spacing w:before="0" w:after="0" w:line="408" w:lineRule="exact"/>
        <w:ind w:left="0" w:right="0" w:firstLine="576"/>
        <w:jc w:val="left"/>
      </w:pPr>
      <w:r>
        <w:rPr/>
        <w:t xml:space="preserve">(a) At least a 15 percent net increase in the volume of in-state liquid biofuel production and the use of feedstocks grown or produced within the state relative to the start of the program; and</w:t>
      </w:r>
    </w:p>
    <w:p>
      <w:pPr>
        <w:spacing w:before="0" w:after="0" w:line="408" w:lineRule="exact"/>
        <w:ind w:left="0" w:right="0" w:firstLine="576"/>
        <w:jc w:val="left"/>
      </w:pPr>
      <w:r>
        <w:rPr/>
        <w:t xml:space="preserve">(b) At least one new or expanded biofuel production facility representing an increase in production capacity or producing, in total, in excess of 60,000,000 gallons of biofuels per year has or have received after July 1, 2021, all necessary siting, operating, and environmental permits post all timely and applicable appeals. As part of the threshold of 60,000,000 gallons of biofuel under this subsection, at least one new facility producing at least 10,000,000 gallons per year must have received all necessary siting, operating, and environmental permits. Timely and applicable appeals must be determined by the attorney general's office.</w:t>
      </w:r>
    </w:p>
    <w:p>
      <w:pPr>
        <w:spacing w:before="0" w:after="0" w:line="408" w:lineRule="exact"/>
        <w:ind w:left="0" w:right="0" w:firstLine="576"/>
        <w:jc w:val="left"/>
      </w:pPr>
      <w:r>
        <w:rPr/>
        <w:t xml:space="preserve">(7) Beginning with the program year beginning in calendar year 2031, the department may not increase the carbon intensity reductions required by the applicable clean fuels program standard adopted by the department under subsection (5) of this section beyond a 10 percent reduction in carbon intensity until the:</w:t>
      </w:r>
    </w:p>
    <w:p>
      <w:pPr>
        <w:spacing w:before="0" w:after="0" w:line="408" w:lineRule="exact"/>
        <w:ind w:left="0" w:right="0" w:firstLine="576"/>
        <w:jc w:val="left"/>
      </w:pPr>
      <w:r>
        <w:rPr/>
        <w:t xml:space="preserve">(a) Joint legislative audit and review committee report required in section 15 of this act has been completed; and</w:t>
      </w:r>
    </w:p>
    <w:p>
      <w:pPr>
        <w:spacing w:before="0" w:after="0" w:line="408" w:lineRule="exact"/>
        <w:ind w:left="0" w:right="0" w:firstLine="576"/>
        <w:jc w:val="left"/>
      </w:pPr>
      <w:r>
        <w:rPr/>
        <w:t xml:space="preserve">(b) 2033 regular legislative session has adjourned, in order to allow an opportunity for the legislature to amend the requirements of this chapter in light of the report required in (a) of this subsection.</w:t>
      </w:r>
    </w:p>
    <w:p>
      <w:pPr>
        <w:spacing w:before="0" w:after="0" w:line="408" w:lineRule="exact"/>
        <w:ind w:left="0" w:right="0" w:firstLine="576"/>
        <w:jc w:val="left"/>
      </w:pPr>
      <w:r>
        <w:rPr/>
        <w:t xml:space="preserve">(8)(a) In order to coordinate and synchronize the clean fuels program with other transportation-related investments, the department may not assign compliance obligations or allow the generation of credits under this chapter until a separate additive transportation revenue act becomes law,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revenue act" means an act enacted after April 1, 2021, in which the state fuel tax under RCW 82.38.030 is increased by an additional and cumulative tax rate of at least five cents per gallon of fuel.</w:t>
      </w:r>
    </w:p>
    <w:p>
      <w:pPr>
        <w:spacing w:before="0" w:after="0" w:line="408" w:lineRule="exact"/>
        <w:ind w:left="0" w:right="0" w:firstLine="576"/>
        <w:jc w:val="left"/>
      </w:pPr>
      <w:r>
        <w:rPr/>
        <w:t xml:space="preserve">(9) Transportation fuels exported from Washington are not subject to the greenhouse gas emissions reduction requirements in this section.</w:t>
      </w:r>
    </w:p>
    <w:p>
      <w:pPr>
        <w:spacing w:before="0" w:after="0" w:line="408" w:lineRule="exact"/>
        <w:ind w:left="0" w:right="0" w:firstLine="576"/>
        <w:jc w:val="left"/>
      </w:pPr>
      <w:r>
        <w:rPr/>
        <w:t xml:space="preserve">(10) To the extent the requirements of this chapter conflict with the requirements of chapter 19.112 RCW, the requirements of this chapter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must include the credit clearance market specified in subsection (8) of this section and may also include, but are not limited to:</w:t>
      </w:r>
    </w:p>
    <w:p>
      <w:pPr>
        <w:spacing w:before="0" w:after="0" w:line="408" w:lineRule="exact"/>
        <w:ind w:left="0" w:right="0" w:firstLine="576"/>
        <w:jc w:val="left"/>
      </w:pPr>
      <w:r>
        <w:rPr/>
        <w:t xml:space="preserve">(i) Procedures similar to the credit clearance market required in subsection (8) of this section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section 7(1) of this act.</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section 7(1) of this act;</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that holds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from sale in any transaction outside of the credit clearance market until the end of the credit clearance market, or if no credit clearance market is held in a given year, then until the date on which the department announces it will not be held.</w:t>
      </w:r>
    </w:p>
    <w:p>
      <w:pPr>
        <w:spacing w:before="0" w:after="0" w:line="408" w:lineRule="exact"/>
        <w:ind w:left="0" w:right="0" w:firstLine="576"/>
        <w:jc w:val="left"/>
      </w:pPr>
      <w:r>
        <w:rPr/>
        <w:t xml:space="preserve">(c)(i) The department shall set a maximum price for credits in a credit clearance market, consistent with states that have adopted similar clean fuels programs, not to exceed $200 in 2018 dollars for 2023.</w:t>
      </w:r>
    </w:p>
    <w:p>
      <w:pPr>
        <w:spacing w:before="0" w:after="0" w:line="408" w:lineRule="exact"/>
        <w:ind w:left="0" w:right="0" w:firstLine="576"/>
        <w:jc w:val="left"/>
      </w:pPr>
      <w:r>
        <w:rPr/>
        <w:t xml:space="preserve">(ii) For 2024 and subsequent years, the maximum price may exceed $200 in 2018 dollars, but only to the extent that a greater maximum price for credits is necessary to annually adjust for inflation, beginning on January 1, 2024,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sections 3 and 4 of this act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sections 3 and 4 of this act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sections 3 and 4 of this act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and (2) of this section. The department must limit the number of credits that may be earned each year under subsection (3) of this section to 10 percent of the total program credits.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this chapter, the department shall seek to adopt rules that are harmonized with the regulatory standards, exemptions, reporting obligations, and other clean fuels program compliance requirements and methods for credit generation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The department must establish and periodically consult a stakeholder advisory panel, including representatives of forestland and agricultural landowners, for purposes of soliciting input on how to best incentivize and allot credits for the sequestration of greenhouse gases through activities on agricultural and forestlands in a manner that is consistent with the goals and requirements of this chapter.</w:t>
      </w:r>
    </w:p>
    <w:p>
      <w:pPr>
        <w:spacing w:before="0" w:after="0" w:line="408" w:lineRule="exact"/>
        <w:ind w:left="0" w:right="0" w:firstLine="576"/>
        <w:jc w:val="left"/>
      </w:pPr>
      <w:r>
        <w:rPr/>
        <w:t xml:space="preserve">(3) The department must conduct a biennial review of innovative technologies and pathways that reduce carbon and increase credit generation opportunities and must modify rules or guidance as needed to maintain stable credit markets.</w:t>
      </w:r>
    </w:p>
    <w:p>
      <w:pPr>
        <w:spacing w:before="0" w:after="0" w:line="408" w:lineRule="exact"/>
        <w:ind w:left="0" w:right="0" w:firstLine="576"/>
        <w:jc w:val="left"/>
      </w:pPr>
      <w:r>
        <w:rPr/>
        <w:t xml:space="preserve">(4) In any reports to the legislature under section 10 of this act, on the department's website, or in other public documents or communications that refer to assumed public health benefits associated with the program created in this chapter, the department must distinguish between public health benefits from small particulate matter and other conventional pollutant reductions achieved primarily as a result of vehicle emission standards established under chapter 70A.30 RCW, and the incremental benefits to air pollution attributable to the program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Electric vehicle manufacturers and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must be accompanied by documentation, in a format approved by the department, that assigns the clean fuels program compliance responsibility associated with the fuels, including the assignment of associated credits. The department may also require documentation assigning clean fuels program compliance responsibility associated with fuels for which program participation has been elected.</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A.</w:t>
      </w:r>
      <w:r>
        <w:t xml:space="preserve">15</w:t>
      </w:r>
      <w:r>
        <w:rPr/>
        <w:t xml:space="preserve">.</w:t>
      </w:r>
      <w:r>
        <w:t xml:space="preserve">2510</w:t>
      </w:r>
      <w:r>
        <w:rPr/>
        <w:t xml:space="preserve"> applies to records or information submitted to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w:t>
      </w:r>
    </w:p>
    <w:p>
      <w:pPr>
        <w:spacing w:before="0" w:after="0" w:line="408" w:lineRule="exact"/>
        <w:ind w:left="0" w:right="0" w:firstLine="576"/>
        <w:jc w:val="left"/>
      </w:pPr>
      <w:r>
        <w:rPr/>
        <w:t xml:space="preserve">(b) Sixty percent of the revenues described in (a) of this subsection, or 30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 located within or directly benefiting a federally designated nonattainment or maintenance area, a federally designated nonattainment or maintenance area that existed as of January 1, 2021, a disproportionately impacted community identified by the department of health, or an area designated by the department as being at risk of nonattainment, if such a nonattainment or maintenance area or disproportionately impacted community is within the service area of the utility.</w:t>
      </w:r>
    </w:p>
    <w:p>
      <w:pPr>
        <w:spacing w:before="0" w:after="0" w:line="408" w:lineRule="exact"/>
        <w:ind w:left="0" w:right="0" w:firstLine="576"/>
        <w:jc w:val="left"/>
      </w:pPr>
      <w:r>
        <w:rPr/>
        <w:t xml:space="preserve">(2)(a) Each electric utility must spend 50 percent of revenues not subject to the requirements of subsection (1) of this section on one or more transportation electrification programs or projects it selects from a list of types of programs and projects jointly developed by the department and the Washington state department of transportation. The department and the Washington state department of transportation must develop the list based on those with the highest impact on reducing greenhouse gas emissions and decarbonizing the transportation sector. The types of transportation electrification projects or programs placed on the list must include, but are not limited to:</w:t>
      </w:r>
    </w:p>
    <w:p>
      <w:pPr>
        <w:spacing w:before="0" w:after="0" w:line="408" w:lineRule="exact"/>
        <w:ind w:left="0" w:right="0" w:firstLine="576"/>
        <w:jc w:val="left"/>
      </w:pPr>
      <w:r>
        <w:rPr/>
        <w:t xml:space="preserve">(i) Provision of new or used zero emissions vehicles at no cost or at a discount to nonprofit service providers, transit agencies, or public fleets for the purpose of providing transportation services for low-income or vulnerable populations or to reduce transportation costs for the nonprofits, transit agencies, or public fleets serving low-income or vulnerable populations;</w:t>
      </w:r>
    </w:p>
    <w:p>
      <w:pPr>
        <w:spacing w:before="0" w:after="0" w:line="408" w:lineRule="exact"/>
        <w:ind w:left="0" w:right="0" w:firstLine="576"/>
        <w:jc w:val="left"/>
      </w:pPr>
      <w:r>
        <w:rPr/>
        <w:t xml:space="preserve">(ii) Construction, operation, or maintenance of, or funding for charging infrastructure, including smart charging infrastructure, or hydrogen fueling infrastructure;</w:t>
      </w:r>
    </w:p>
    <w:p>
      <w:pPr>
        <w:spacing w:before="0" w:after="0" w:line="408" w:lineRule="exact"/>
        <w:ind w:left="0" w:right="0" w:firstLine="576"/>
        <w:jc w:val="left"/>
      </w:pPr>
      <w:r>
        <w:rPr/>
        <w:t xml:space="preserve">(iii) Expanding grid capacity to enable transportation electrification investments directly associated with expenditures permitted by this chapter; and</w:t>
      </w:r>
    </w:p>
    <w:p>
      <w:pPr>
        <w:spacing w:before="0" w:after="0" w:line="408" w:lineRule="exact"/>
        <w:ind w:left="0" w:right="0" w:firstLine="576"/>
        <w:jc w:val="left"/>
      </w:pPr>
      <w:r>
        <w:rPr/>
        <w:t xml:space="preserve">(iv) Partnership programs with public and private vehicle fleet owners to enable increased electrification of transportation.</w:t>
      </w:r>
    </w:p>
    <w:p>
      <w:pPr>
        <w:spacing w:before="0" w:after="0" w:line="408" w:lineRule="exact"/>
        <w:ind w:left="0" w:right="0" w:firstLine="576"/>
        <w:jc w:val="left"/>
      </w:pPr>
      <w:r>
        <w:rPr/>
        <w:t xml:space="preserve">(b) Under (a) of this subsection, electric utilities should consider programs or projects that expand low and moderate-income customer access to zero emissions transportation, when prioritizing program expenditures.</w:t>
      </w:r>
    </w:p>
    <w:p>
      <w:pPr>
        <w:spacing w:before="0" w:after="0" w:line="408" w:lineRule="exact"/>
        <w:ind w:left="0" w:right="0" w:firstLine="576"/>
        <w:jc w:val="left"/>
      </w:pPr>
      <w:r>
        <w:rPr/>
        <w:t xml:space="preserve">(3) Electric utilities that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2025, and each May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isolated from the greenhouse gas emissions reductions attributable to other state and national programs on the same fuels;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rPr/>
        <w:t xml:space="preserve">(3) By May 1, 2025, and each May 1st thereafter, the department must submit the report required under subsection (1) of this section to the appropriate committees of the house of representatives and senate.</w:t>
      </w:r>
    </w:p>
    <w:p>
      <w:pPr>
        <w:spacing w:before="0" w:after="0" w:line="408" w:lineRule="exact"/>
        <w:ind w:left="0" w:right="0" w:firstLine="576"/>
        <w:jc w:val="left"/>
      </w:pPr>
      <w:r>
        <w:rPr/>
        <w:t xml:space="preserve">(4) The department must contract for a one-time ex ante independent analysis of the information specified in subsection (1)(c) of this section covering each year of the program through 2038. The analysis must be informed by input from stakeholders, including regulated industries, and informed by experience from other jurisdictions. The analysis must impute price impacts using multiple analytical methodologies and must make clear how the assumptions or factors considered differed in each methodology used and price impact imputed. The analysis required in this subsection must be completed and submitted to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the utilities and transportation commission, and the department of agriculture, the department of commerce must develop a periodic fuel supply forecast to project the availability of fuels to Washington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potential volumes of gasoline, gasoline substitutes, and gasoline alternatives, and diesel, diesel substitutes, and diesel alternatives available to Washington. In developing this estimate, the department of commerce must consider, but is not limited to considering:</w:t>
      </w:r>
    </w:p>
    <w:p>
      <w:pPr>
        <w:spacing w:before="0" w:after="0" w:line="408" w:lineRule="exact"/>
        <w:ind w:left="0" w:right="0" w:firstLine="576"/>
        <w:jc w:val="left"/>
      </w:pPr>
      <w:r>
        <w:rPr/>
        <w:t xml:space="preserve">(i) The existing and future vehicle fleet in Washington; and</w:t>
      </w:r>
    </w:p>
    <w:p>
      <w:pPr>
        <w:spacing w:before="0" w:after="0" w:line="408" w:lineRule="exact"/>
        <w:ind w:left="0" w:right="0" w:firstLine="576"/>
        <w:jc w:val="left"/>
      </w:pPr>
      <w:r>
        <w:rPr/>
        <w:t xml:space="preserve">(ii) Any constraints that might be preventing access to available and cost-effective low carbon fuels by Washington, such as geographic and logistical factors, and alleviating factors to the constraints;</w:t>
      </w:r>
    </w:p>
    <w:p>
      <w:pPr>
        <w:spacing w:before="0" w:after="0" w:line="408" w:lineRule="exact"/>
        <w:ind w:left="0" w:right="0" w:firstLine="576"/>
        <w:jc w:val="left"/>
      </w:pPr>
      <w:r>
        <w:rPr/>
        <w:t xml:space="preserve">(b) An estimate of the total banked credits and carried over deficits held by regulated parties, credit generators, and credit aggregators at the beginning of the compliance period, and an estimate of the total credits attributable to fuels described in (a) of this subsection;</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 and</w:t>
      </w:r>
    </w:p>
    <w:p>
      <w:pPr>
        <w:spacing w:before="0" w:after="0" w:line="408" w:lineRule="exact"/>
        <w:ind w:left="0" w:right="0" w:firstLine="576"/>
        <w:jc w:val="left"/>
      </w:pPr>
      <w:r>
        <w:rPr/>
        <w:t xml:space="preserve">(d) A comparison in the estimates of (a) and (b) of this subsection with the estimate in (c) of this subsection, for the purpose of indicating the availability of fuels and banked credits needed for compliance with the requirements of this chapter.</w:t>
      </w:r>
    </w:p>
    <w:p>
      <w:pPr>
        <w:spacing w:before="0" w:after="0" w:line="408" w:lineRule="exact"/>
        <w:ind w:left="0" w:right="0" w:firstLine="576"/>
        <w:jc w:val="left"/>
      </w:pPr>
      <w:r>
        <w:rPr/>
        <w:t xml:space="preserve">(4) The department of commerce, in coordination with the department, may appoint a forecast review team of relevant experts to participate in the fuel supply forecast or examination of data required by this section. The department of commerce must finalize a fuel supply forecast for an upcoming compliance period by no later than 90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30 calendar days before the commencement of a compliance period, the department shall issue an order declaring a forecast deferral if the fuel supply forecast under section 11 of this act projects that the amount of credits that will be available during the forecast compliance period will be less than 100 percent of the credits projected to be necessary for regulated parties to comply with the scheduled applicable clean fuels program standard adopted by the department for the forecast compliance period.</w:t>
      </w:r>
    </w:p>
    <w:p>
      <w:pPr>
        <w:spacing w:before="0" w:after="0" w:line="408" w:lineRule="exact"/>
        <w:ind w:left="0" w:right="0" w:firstLine="576"/>
        <w:jc w:val="left"/>
      </w:pPr>
      <w:r>
        <w:rPr/>
        <w:t xml:space="preserve">(2) An order declaring a forecast deferral under this section must set forth:</w:t>
      </w:r>
    </w:p>
    <w:p>
      <w:pPr>
        <w:spacing w:before="0" w:after="0" w:line="408" w:lineRule="exact"/>
        <w:ind w:left="0" w:right="0" w:firstLine="576"/>
        <w:jc w:val="left"/>
      </w:pPr>
      <w:r>
        <w:rPr/>
        <w:t xml:space="preserve">(a) The duration of the forecast deferral;</w:t>
      </w:r>
    </w:p>
    <w:p>
      <w:pPr>
        <w:spacing w:before="0" w:after="0" w:line="408" w:lineRule="exact"/>
        <w:ind w:left="0" w:right="0" w:firstLine="576"/>
        <w:jc w:val="left"/>
      </w:pPr>
      <w:r>
        <w:rPr/>
        <w:t xml:space="preserve">(b) The types of fuel to which the forecast deferral applies; and</w:t>
      </w:r>
    </w:p>
    <w:p>
      <w:pPr>
        <w:spacing w:before="0" w:after="0" w:line="408" w:lineRule="exact"/>
        <w:ind w:left="0" w:right="0" w:firstLine="576"/>
        <w:jc w:val="left"/>
      </w:pPr>
      <w:r>
        <w:rPr/>
        <w:t xml:space="preserve">(c) Which of the following methods the department has selected for deferring compliance with the scheduled applicable clean fuels program standard during the forecast deferral:</w:t>
      </w:r>
    </w:p>
    <w:p>
      <w:pPr>
        <w:spacing w:before="0" w:after="0" w:line="408" w:lineRule="exact"/>
        <w:ind w:left="0" w:right="0" w:firstLine="576"/>
        <w:jc w:val="left"/>
      </w:pPr>
      <w:r>
        <w:rPr/>
        <w:t xml:space="preserve">(i) Temporarily adjusting the scheduled applicable clean fuels program standard to a standard identified in the order that better reflects the forecast availability of credits during the forecast compliance period and requiring regulated parties to comply with the temporary standard;</w:t>
      </w:r>
    </w:p>
    <w:p>
      <w:pPr>
        <w:spacing w:before="0" w:after="0" w:line="408" w:lineRule="exact"/>
        <w:ind w:left="0" w:right="0" w:firstLine="576"/>
        <w:jc w:val="left"/>
      </w:pPr>
      <w:r>
        <w:rPr/>
        <w:t xml:space="preserve">(ii) Requiring regulated parties to comply only with the clean fuels program standard applicable during the compliance period prior to the forecast compliance period; or</w:t>
      </w:r>
    </w:p>
    <w:p>
      <w:pPr>
        <w:spacing w:before="0" w:after="0" w:line="408" w:lineRule="exact"/>
        <w:ind w:left="0" w:right="0" w:firstLine="576"/>
        <w:jc w:val="left"/>
      </w:pPr>
      <w:r>
        <w:rPr/>
        <w:t xml:space="preserve">(iii) Suspending deficit accrual for part or all of the forecast deferral period.</w:t>
      </w:r>
    </w:p>
    <w:p>
      <w:pPr>
        <w:spacing w:before="0" w:after="0" w:line="408" w:lineRule="exact"/>
        <w:ind w:left="0" w:right="0" w:firstLine="576"/>
        <w:jc w:val="left"/>
      </w:pPr>
      <w:r>
        <w:rPr/>
        <w:t xml:space="preserve">(3)(a) In implementing a forecast deferral, the department may take an action for deferring compliance with the clean fuels program standard other than, or in addition to, selecting a method under subsection (2)(c) of this section only if the department determines that none of the methods under subsection (2)(c) of this section will provide a sufficient mechanism for containing the costs of compliance with the clean fuels program standards during the forecast deferral.</w:t>
      </w:r>
    </w:p>
    <w:p>
      <w:pPr>
        <w:spacing w:before="0" w:after="0" w:line="408" w:lineRule="exact"/>
        <w:ind w:left="0" w:right="0" w:firstLine="576"/>
        <w:jc w:val="left"/>
      </w:pPr>
      <w:r>
        <w:rPr/>
        <w:t xml:space="preserve">(b) If the department makes the determination specified in (a) of this subsection, the department shall:</w:t>
      </w:r>
    </w:p>
    <w:p>
      <w:pPr>
        <w:spacing w:before="0" w:after="0" w:line="408" w:lineRule="exact"/>
        <w:ind w:left="0" w:right="0" w:firstLine="576"/>
        <w:jc w:val="left"/>
      </w:pPr>
      <w:r>
        <w:rPr/>
        <w:t xml:space="preserve">(i) Include in the order declaring a forecast deferral the determination and the action to be taken; and</w:t>
      </w:r>
    </w:p>
    <w:p>
      <w:pPr>
        <w:spacing w:before="0" w:after="0" w:line="408" w:lineRule="exact"/>
        <w:ind w:left="0" w:right="0" w:firstLine="576"/>
        <w:jc w:val="left"/>
      </w:pPr>
      <w:r>
        <w:rPr/>
        <w:t xml:space="preserve">(ii) Provide written notification and justification of the determination and the action to:</w:t>
      </w:r>
    </w:p>
    <w:p>
      <w:pPr>
        <w:spacing w:before="0" w:after="0" w:line="408" w:lineRule="exact"/>
        <w:ind w:left="0" w:right="0" w:firstLine="576"/>
        <w:jc w:val="left"/>
      </w:pPr>
      <w:r>
        <w:rPr/>
        <w:t xml:space="preserve">(A) The governor;</w:t>
      </w:r>
    </w:p>
    <w:p>
      <w:pPr>
        <w:spacing w:before="0" w:after="0" w:line="408" w:lineRule="exact"/>
        <w:ind w:left="0" w:right="0" w:firstLine="576"/>
        <w:jc w:val="left"/>
      </w:pPr>
      <w:r>
        <w:rPr/>
        <w:t xml:space="preserve">(B) The president of the senate;</w:t>
      </w:r>
    </w:p>
    <w:p>
      <w:pPr>
        <w:spacing w:before="0" w:after="0" w:line="408" w:lineRule="exact"/>
        <w:ind w:left="0" w:right="0" w:firstLine="576"/>
        <w:jc w:val="left"/>
      </w:pPr>
      <w:r>
        <w:rPr/>
        <w:t xml:space="preserve">(C) The speaker of the house of representatives;</w:t>
      </w:r>
    </w:p>
    <w:p>
      <w:pPr>
        <w:spacing w:before="0" w:after="0" w:line="408" w:lineRule="exact"/>
        <w:ind w:left="0" w:right="0" w:firstLine="576"/>
        <w:jc w:val="left"/>
      </w:pPr>
      <w:r>
        <w:rPr/>
        <w:t xml:space="preserve">(D) The majority and minority leaders of the senate; and</w:t>
      </w:r>
    </w:p>
    <w:p>
      <w:pPr>
        <w:spacing w:before="0" w:after="0" w:line="408" w:lineRule="exact"/>
        <w:ind w:left="0" w:right="0" w:firstLine="576"/>
        <w:jc w:val="left"/>
      </w:pPr>
      <w:r>
        <w:rPr/>
        <w:t xml:space="preserve">(E) The majority and minority leaders of the house of representatives.</w:t>
      </w:r>
    </w:p>
    <w:p>
      <w:pPr>
        <w:spacing w:before="0" w:after="0" w:line="408" w:lineRule="exact"/>
        <w:ind w:left="0" w:right="0" w:firstLine="576"/>
        <w:jc w:val="left"/>
      </w:pPr>
      <w:r>
        <w:rPr/>
        <w:t xml:space="preserve">(4) The duration of a forecast deferral may not be less than one calendar quarter or longer than one compliance period. Only the department may terminate, by order, a forecast deferral before the expiration date of the forecast deferral. Termination of a forecast deferral is effective on the first day of the next calendar quarter after the date that the order declaring the termination is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of the department may issue an order declaring an emergency deferral of compliance with the carbon intensity standard established under section 3 of this act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section 4 of this act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section 11 of this act, but is not bound in its decision-making discretion by the results of the forecast.</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this chapter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chapter must be deposited into the account. Moneys in the account may be spent only after appropriation. The department may only use expenditures from the account for carrying out the program created in this chapter.</w:t>
      </w:r>
    </w:p>
    <w:p>
      <w:pPr>
        <w:spacing w:before="0" w:after="0" w:line="408" w:lineRule="exact"/>
        <w:ind w:left="0" w:right="0" w:firstLine="576"/>
        <w:jc w:val="left"/>
      </w:pPr>
      <w:r>
        <w:rPr/>
        <w:t xml:space="preserve">(3) All rule making authorized under this act must be conducted according to the standards for significant legislative rules provided in RCW 34.05.328.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2030,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(d) An evaluation of the impacts of the program on low-income households; and</w:t>
      </w:r>
    </w:p>
    <w:p>
      <w:pPr>
        <w:spacing w:before="0" w:after="0" w:line="408" w:lineRule="exact"/>
        <w:ind w:left="0" w:right="0" w:firstLine="576"/>
        <w:jc w:val="left"/>
      </w:pPr>
      <w:r>
        <w:rPr/>
        <w:t xml:space="preserve">(e) The outcomes of proposals to site biofuel facilities through the energy facility site evaluation council review process that is allowed by RCW 80.50.060(2).</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from the generation, purchase, sale, transfer, or retirement of credits under chapter 70A.--- RCW (the new chapter created in section 29 of this act).</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landfill gas; (e) wave or tidal action;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w:t>
      </w:r>
      <w:r>
        <w:t>((</w:t>
      </w:r>
      <w:r>
        <w:rPr>
          <w:strike/>
        </w:rPr>
        <w:t xml:space="preserve">has the same meaning as defined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w:t>
      </w:r>
      <w:r>
        <w:t>((</w:t>
      </w:r>
      <w:r>
        <w:rPr>
          <w:strike/>
        </w:rPr>
        <w:t xml:space="preserve">and</w:t>
      </w:r>
      <w:r>
        <w:t>))</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r>
        <w:rPr>
          <w:u w:val="single"/>
        </w:rPr>
        <w:t xml:space="preserve">; and</w:t>
      </w:r>
    </w:p>
    <w:p>
      <w:pPr>
        <w:spacing w:before="0" w:after="0" w:line="408" w:lineRule="exact"/>
        <w:ind w:left="0" w:right="0" w:firstLine="576"/>
        <w:jc w:val="left"/>
      </w:pPr>
      <w:r>
        <w:rPr>
          <w:u w:val="single"/>
        </w:rPr>
        <w:t xml:space="preserve">(g) Facilities capable of producing more than one thousand five hundred barrels per day of refined biofuel but less than twenty-five thousand barrels of refined biofuel</w:t>
      </w:r>
      <w:r>
        <w:rPr/>
        <w:t xml:space="preserve">.</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for biofuel refineries specified in RCW 80.50.020(12)(g), the</w:t>
      </w:r>
      <w:r>
        <w:rPr/>
        <w:t xml:space="preserv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w:t>
      </w:r>
      <w:r>
        <w:rPr>
          <w:u w:val="single"/>
        </w:rPr>
        <w:t xml:space="preserve">biofuel refinery specified in RCW 80.50.020(12)(g) or a new or existing</w:t>
      </w:r>
      <w:r>
        <w:rPr/>
        <w:t xml:space="preserve">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2020 c 78 s 2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w:t>
      </w:r>
      <w:r>
        <w:t>((</w:t>
      </w:r>
      <w:r>
        <w:rPr>
          <w:strike/>
        </w:rPr>
        <w:t xml:space="preserve">or</w:t>
      </w:r>
      <w:r>
        <w:t>))</w:t>
      </w:r>
      <w:r>
        <w:rPr>
          <w:u w:val="single"/>
        </w:rPr>
        <w:t xml:space="preserve">,</w:t>
      </w:r>
      <w:r>
        <w:rPr/>
        <w:t xml:space="preserve"> chapter 70A.25 </w:t>
      </w:r>
      <w:r>
        <w:rPr>
          <w:u w:val="single"/>
        </w:rPr>
        <w:t xml:space="preserve">or 70A.--- (the new chapter created in section 29 of this act)</w:t>
      </w:r>
      <w:r>
        <w:rPr/>
        <w:t xml:space="preserve"> RCW, RCW 70A.45.080,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i/>
          <w:u w:val="single"/>
        </w:rPr>
        <w:t xml:space="preserve">,</w:t>
      </w:r>
      <w:r>
        <w:rPr/>
        <w:t xml:space="preserve"> 70A.450</w:t>
      </w:r>
      <w:r>
        <w:rPr>
          <w:u w:val="single"/>
        </w:rPr>
        <w:t xml:space="preserve">, or 70A.--- (the new chapter created in section 29 of this act)</w:t>
      </w:r>
      <w:r>
        <w:rPr/>
        <w:t xml:space="preserve"> RCW, RCW 70A.45.080,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w:t>
      </w:r>
      <w:r>
        <w:rPr/>
        <w:noBreakHyphen/>
      </w:r>
      <w:r>
        <w:rPr/>
        <w:t xml:space="preserve">state oil seed crushing capacity and feedstock grown in Washington state can satisfy a three</w:t>
      </w:r>
      <w:r>
        <w:rPr/>
        <w:noBreakHyphen/>
      </w:r>
      <w:r>
        <w:rPr/>
        <w:t xml:space="preserve">percent requirement.</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u w:val="single"/>
        </w:rPr>
        <w:t xml:space="preserve">(5) To the extent that the requirements of this section conflict with the requirements of chapter 70A.--- (the new chapter created in section 29 of this act) RCW, the requirements of chapter 70A.--- (the new chapter created in section 29 of this act) RCW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120</w:t>
      </w:r>
      <w:r>
        <w:rPr/>
        <w:t xml:space="preserve"> and 2013 c 225 s 602 are each amended to read as follows:</w:t>
      </w:r>
    </w:p>
    <w:p>
      <w:pPr>
        <w:spacing w:before="0" w:after="0" w:line="408" w:lineRule="exact"/>
        <w:ind w:left="0" w:right="0" w:firstLine="576"/>
        <w:jc w:val="left"/>
      </w:pPr>
      <w:r>
        <w:rPr/>
        <w:t xml:space="preserve">(1) By December 1, 2008, motor vehicle fuel licensees under chapter 82.38 RCW, as determined by the department of licensing, must provide evidence to the department of licensing that at least two percent of total gasoline sold in Washington, measured on a quarterly basis, is denatured ethanol.</w:t>
      </w:r>
    </w:p>
    <w:p>
      <w:pPr>
        <w:spacing w:before="0" w:after="0" w:line="408" w:lineRule="exact"/>
        <w:ind w:left="0" w:right="0" w:firstLine="576"/>
        <w:jc w:val="left"/>
      </w:pPr>
      <w:r>
        <w:rPr/>
        <w:t xml:space="preserve">(2) If the director of ecology determines that ethanol content greater than two percent of the total gasoline sold in Washington will not jeopardize continued attainment of the federal clean air act's national ambient air quality standard for ozone pollution in Washington and the director of agriculture determines and publishes this determination in the Washington State Register that sufficient raw materials are available within Washington to support economical production of ethanol at higher levels, the director of agriculture may require by rule that licensees provide evidence to the department of licensing that denatured ethanol comprises between two percent and at least ten percent of total gasoline sold in Washington, measured on a quarterly basis.</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t xml:space="preserve">(5) Nothing in this section is intended to prohibit the production, sale, or use of motor fuel for use in federally designated flexibly fueled vehicles capable of using E85 motor fuel. Nothing in this section is intended to limit the use of high octane gasoline not blended with ethanol for use in aircraft.</w:t>
      </w:r>
    </w:p>
    <w:p>
      <w:pPr>
        <w:spacing w:before="0" w:after="0" w:line="408" w:lineRule="exact"/>
        <w:ind w:left="0" w:right="0" w:firstLine="576"/>
        <w:jc w:val="left"/>
      </w:pPr>
      <w:r>
        <w:rPr>
          <w:u w:val="single"/>
        </w:rPr>
        <w:t xml:space="preserve">(6) To the extent that the requirements of this section conflict with the requirements of chapter 70A.--- (the new chapter created in section 29 of this act) RCW, the requirements of chapter 70A.--- (the new chapter created in section 29 of this act) RCW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in coordination with the department of commerce and other agencies as appropriate, must develop recommendations for potential improvements to the permitting processes for industrial projects and facilities in Washington that would contribute to achieving greenhouse gas emissions limits established under RCW 70A.45.020 while maintaining standards for the protection of the environment and the preservation of tribal consultation and treaty rights. The department must provide increased clarity on areas in the state that may be suitable for siting projects that have a lower potential for negative environmental impacts, especially to highly impacted communities as defined in RCW 19.405.020 and identify strategies for minimizing and mitigating negative environmental impacts where possible. The department must provide clear guidance and direction intended to improve project proposals, recommend policy and administrative improvements necessary to improve the permitting process, and recommend any additional studies needed. The department shall convene businesses, local governments, community organizations, and environmental and labor stakeholders, and consult with tribes.</w:t>
      </w:r>
    </w:p>
    <w:p>
      <w:pPr>
        <w:spacing w:before="0" w:after="0" w:line="408" w:lineRule="exact"/>
        <w:ind w:left="0" w:right="0" w:firstLine="576"/>
        <w:jc w:val="left"/>
      </w:pPr>
      <w:r>
        <w:rPr/>
        <w:t xml:space="preserve">(2) The department and the department of commerce shall produce and submit to the governor and the legislature an interim progress report with initial policy proposal recommendations for the 2022 legislative session by December 1, 2021, and a final report including findings, recommendations, and further policy proposals by December 1, 2022.</w:t>
      </w:r>
    </w:p>
    <w:p>
      <w:pPr>
        <w:spacing w:before="0" w:after="0" w:line="408" w:lineRule="exact"/>
        <w:ind w:left="0" w:right="0" w:firstLine="576"/>
        <w:jc w:val="left"/>
      </w:pPr>
      <w:r>
        <w:rPr/>
        <w:t xml:space="preserve">(3)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 In the event that there is litigation on the provisions of section 3(6) of this act or any other provision of this act, it is the intent of the legislature that the remainder of the act shall continue to be enforced and if such provisions are held invalid, the remainder of the act shall not be affected.</w:t>
      </w:r>
    </w:p>
    <w:p/>
    <w:p>
      <w:pPr>
        <w:jc w:val="center"/>
      </w:pPr>
      <w:r>
        <w:rPr>
          <w:b/>
        </w:rPr>
        <w:t>--- END ---</w:t>
      </w:r>
    </w:p>
    <w:sectPr>
      <w:pgNumType w:start="1"/>
      <w:footerReference xmlns:r="http://schemas.openxmlformats.org/officeDocument/2006/relationships" r:id="R2dd1383963fa44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1091.PL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78a17b20d546b7" /><Relationship Type="http://schemas.openxmlformats.org/officeDocument/2006/relationships/footer" Target="/word/footer1.xml" Id="R2dd1383963fa4489" /></Relationships>
</file>