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e31fc93ab40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Bateman, Ortiz-Self, Kloba, Chopp, Ormsby, Stonier, and Macri;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worker protections; amending RCW 49.17.130, 49.17.140, 49.17.160, and 49.17.180; adding a new section to chapter 51.04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130</w:t>
      </w:r>
      <w:r>
        <w:rPr/>
        <w:t xml:space="preserve"> and 2010 c 8 s 12012 are each amended to read as follows:</w:t>
      </w:r>
    </w:p>
    <w:p>
      <w:pPr>
        <w:spacing w:before="0" w:after="0" w:line="408" w:lineRule="exact"/>
        <w:ind w:left="0" w:right="0" w:firstLine="576"/>
        <w:jc w:val="left"/>
      </w:pPr>
      <w:r>
        <w:rPr/>
        <w:t xml:space="preserve">(1) If upon inspection or investigation, the director, or his or her authorized representative, believes that an employer has violated a requirement of RCW 49.17.060, or any safety or health standard promulgated by rules of the department, or any conditions of an order granting a variance, which violation is such that a danger exists from which there is a substantial probability that death or serious physical harm could result to any employee, the director or his or her authorized representative shall issue a citation and may issue an order immediately restraining any such condition, practice, method, process, or means in the workplace. Any order issued under this section may require such steps to be taken as may be necessary to avoid, correct, or remove such danger and prohibit the employment or presence of any individual in locations or under conditions where such danger exists, except individuals whose presence is necessary to avoid, correct, or remove such danger or to maintain the capacity of a continuous process operation in order that the resumption of normal operations may be had without a complete cessation of operations, or where a cessation of operations is necessary, to permit such to be accomplished in a safe and orderly manner. In addition, if any machine or equipment, or any part thereof, is in violation of a requirement of RCW 49.17.060 or any safety or health standard promulgated by rules of the department, and the operation of such machine or equipment gives rise to a substantial probability that death or serious physical harm could result to any employee, and an order of immediate restraint of the use of such machine or equipment has been issued under this subsection, the use of such machine or equipment is prohibited, and a notice to that effect shall be attached thereto by the director or his or her authorized representative.</w:t>
      </w:r>
    </w:p>
    <w:p>
      <w:pPr>
        <w:spacing w:before="0" w:after="0" w:line="408" w:lineRule="exact"/>
        <w:ind w:left="0" w:right="0" w:firstLine="576"/>
        <w:jc w:val="left"/>
      </w:pPr>
      <w:r>
        <w:rPr/>
        <w:t xml:space="preserve">(2) Whenever the director, or his or her authorized representative, concludes that a condition of employment described in subsection (1) of this section exists in any workplace, he or she shall promptly inform the affected employees and employers of the danger.</w:t>
      </w:r>
    </w:p>
    <w:p>
      <w:pPr>
        <w:spacing w:before="0" w:after="0" w:line="408" w:lineRule="exact"/>
        <w:ind w:left="0" w:right="0" w:firstLine="576"/>
        <w:jc w:val="left"/>
      </w:pPr>
      <w:r>
        <w:rPr/>
        <w:t xml:space="preserve">(3) </w:t>
      </w:r>
      <w:r>
        <w:rPr>
          <w:u w:val="single"/>
        </w:rPr>
        <w:t xml:space="preserve">An employer may contest an order restraining any condition of employment or practice issued under subsection (1) of this section within 10 working days of the effective date of the order by making an application to the superior court of the county wherein such condition of employment or practice exists. Upon the filing of any such petition, the superior courts of the state of Washington shall have jurisdiction to grant appropriate relief.</w:t>
      </w:r>
    </w:p>
    <w:p>
      <w:pPr>
        <w:spacing w:before="0" w:after="0" w:line="408" w:lineRule="exact"/>
        <w:ind w:left="0" w:right="0" w:firstLine="576"/>
        <w:jc w:val="left"/>
      </w:pPr>
      <w:r>
        <w:rPr>
          <w:u w:val="single"/>
        </w:rPr>
        <w:t xml:space="preserve">(4)</w:t>
      </w:r>
      <w:r>
        <w:rPr/>
        <w:t xml:space="preserve"> At any time that a citation or a citation and order restraining any condition of employment or practice described in subsection (1) of this section is issued by the director, or his or her authorized representative, he or she may in addition request the attorney general to make an application to the superior court of the county wherein such condition of employment or practice exists for a temporary restraining order or such other relief as appears to be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2017 c 13 s 1 are each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w:t>
      </w:r>
      <w:r>
        <w:t>((</w:t>
      </w:r>
      <w:r>
        <w:rPr>
          <w:strike/>
        </w:rPr>
        <w:t xml:space="preserve">(3)</w:t>
      </w:r>
      <w:r>
        <w:t>))</w:t>
      </w:r>
      <w:r>
        <w:rPr/>
        <w:t xml:space="preserve"> </w:t>
      </w:r>
      <w:r>
        <w:rPr>
          <w:u w:val="single"/>
        </w:rPr>
        <w:t xml:space="preserve">(4)</w:t>
      </w:r>
      <w:r>
        <w:rPr/>
        <w:t xml:space="preserve">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w:t>
      </w:r>
      <w:r>
        <w:rPr>
          <w:u w:val="single"/>
        </w:rPr>
        <w:t xml:space="preserve">If the director has reason to believe that an employer violated an order immediately restraining a condition, practice, method, process, or means in the workplace issued under RCW 49.17.130 or this section or a notice prohibiting the use of a machine or equipment to which a notice prohibiting such use has been attached, the director shall notify the employer using a method by which the mailing can be tracked or the delivery can be confirmed of such violation of the order and of the penalty to be assessed under RCW 49.17.180 by reason of violation of the order and shall state that the employer has 15 working days from the communication of such notification and assessment of penalty to notify the director that the employer wishes to appeal the director's notification of the assessment of penalty. If, within 15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u w:val="single"/>
        </w:rPr>
        <w:t xml:space="preserve">(4)</w:t>
      </w:r>
      <w:r>
        <w:rPr/>
        <w:t xml:space="preserve">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forty-five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w:t>
      </w:r>
      <w:r>
        <w:t>((</w:t>
      </w:r>
      <w:r>
        <w:rPr>
          <w:strike/>
        </w:rPr>
        <w:t xml:space="preserve">(4)</w:t>
      </w:r>
      <w:r>
        <w:t>))</w:t>
      </w:r>
      <w:r>
        <w:rPr/>
        <w:t xml:space="preserve"> </w:t>
      </w:r>
      <w:r>
        <w:rPr>
          <w:u w:val="single"/>
        </w:rPr>
        <w:t xml:space="preserve">(5)</w:t>
      </w:r>
      <w:r>
        <w:rPr/>
        <w:t xml:space="preserve">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When the director reassumes jurisdiction of an appeal under subsection </w:t>
      </w:r>
      <w:r>
        <w:t>((</w:t>
      </w:r>
      <w:r>
        <w:rPr>
          <w:strike/>
        </w:rPr>
        <w:t xml:space="preserve">(3)</w:t>
      </w:r>
      <w:r>
        <w:t>))</w:t>
      </w:r>
      <w:r>
        <w:rPr/>
        <w:t xml:space="preserve"> </w:t>
      </w:r>
      <w:r>
        <w:rPr>
          <w:u w:val="single"/>
        </w:rPr>
        <w:t xml:space="preserve">(4)</w:t>
      </w:r>
      <w:r>
        <w:rPr/>
        <w:t xml:space="preserve">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rules necessary to implement subsections </w:t>
      </w:r>
      <w:r>
        <w:t>((</w:t>
      </w:r>
      <w:r>
        <w:rPr>
          <w:strike/>
        </w:rPr>
        <w:t xml:space="preserve">(4) and</w:t>
      </w:r>
      <w:r>
        <w:t>))</w:t>
      </w:r>
      <w:r>
        <w:rPr/>
        <w:t xml:space="preserve"> (5) </w:t>
      </w:r>
      <w:r>
        <w:rPr>
          <w:u w:val="single"/>
        </w:rPr>
        <w:t xml:space="preserve">and (6)</w:t>
      </w:r>
      <w:r>
        <w:rPr/>
        <w:t xml:space="preserve">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 </w:t>
      </w:r>
      <w:r>
        <w:rPr>
          <w:u w:val="single"/>
        </w:rPr>
        <w:t xml:space="preserve">Prohibited discrimination includes an action that would deter a reasonable employee from exercising their rights under this chapter.</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w:t>
      </w:r>
      <w:r>
        <w:t>((</w:t>
      </w:r>
      <w:r>
        <w:rPr>
          <w:strike/>
        </w:rPr>
        <w:t xml:space="preserve">thirty</w:t>
      </w:r>
      <w:r>
        <w:t>))</w:t>
      </w:r>
      <w:r>
        <w:rPr/>
        <w:t xml:space="preserve"> </w:t>
      </w:r>
      <w:r>
        <w:rPr>
          <w:u w:val="single"/>
        </w:rPr>
        <w:t xml:space="preserve">90</w:t>
      </w:r>
      <w:r>
        <w:rPr/>
        <w:t xml:space="preserve"> days after such violation occurs, file a complaint with the director alleging such discrimination. </w:t>
      </w:r>
      <w:r>
        <w:t>((</w:t>
      </w:r>
      <w:r>
        <w:rPr>
          <w:strike/>
        </w:rPr>
        <w:t xml:space="preserve">Upon receipt of such complaint, the director shall cause such investigation to be made as he or she deems appropriate. If upon such investigation, the director determines that the provisions of this section have been violated, he of [or]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strike/>
        </w:rPr>
        <w:t xml:space="preserve">(3) Within ninety days of the receipt of the complaint filed under this section, the director shall notify the complainant of his or her determination under subsection (2) of this section.</w:t>
      </w:r>
      <w:r>
        <w:t>))</w:t>
      </w:r>
      <w:r>
        <w:rPr/>
        <w:t xml:space="preserve"> </w:t>
      </w:r>
      <w:r>
        <w:rPr>
          <w:u w:val="single"/>
        </w:rPr>
        <w:t xml:space="preserve">The department may, at its discretion, extend the time period on recognized equitable principles or due to extenuating circumstances.</w:t>
      </w:r>
    </w:p>
    <w:p>
      <w:pPr>
        <w:spacing w:before="0" w:after="0" w:line="408" w:lineRule="exact"/>
        <w:ind w:left="0" w:right="0" w:firstLine="576"/>
        <w:jc w:val="left"/>
      </w:pPr>
      <w:r>
        <w:rPr>
          <w:u w:val="single"/>
        </w:rPr>
        <w:t xml:space="preserve">(3) Within 90 days of the receipt of the complaint filed under this section, the director shall notify the complainant and the employer of his or her determination under </w:t>
      </w:r>
      <w:r>
        <w:rPr>
          <w:u w:val="single"/>
        </w:rPr>
        <w:t xml:space="preserve">subsections (4) and (5) of this section unless the matter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u w:val="single"/>
        </w:rPr>
        <w:t xml:space="preserve">(4)(a) If the director determines that the provisions of this section have been violated, the director will issue a citation and notice </w:t>
      </w:r>
      <w:r>
        <w:rPr>
          <w:u w:val="single"/>
        </w:rPr>
        <w:t xml:space="preserve">of assessment describing the violation to the employer, ordering all appropriate relief, and may assess a civil penalty.</w:t>
      </w:r>
    </w:p>
    <w:p>
      <w:pPr>
        <w:spacing w:before="0" w:after="0" w:line="408" w:lineRule="exact"/>
        <w:ind w:left="0" w:right="0" w:firstLine="576"/>
        <w:jc w:val="left"/>
      </w:pPr>
      <w:r>
        <w:rPr>
          <w:u w:val="single"/>
        </w:rPr>
        <w:t xml:space="preserve">(b) Appropriate relief may include, but is not limited to, the following:</w:t>
      </w:r>
    </w:p>
    <w:p>
      <w:pPr>
        <w:spacing w:before="0" w:after="0" w:line="408" w:lineRule="exact"/>
        <w:ind w:left="0" w:right="0" w:firstLine="576"/>
        <w:jc w:val="left"/>
      </w:pPr>
      <w:r>
        <w:rPr>
          <w:u w:val="single"/>
        </w:rPr>
        <w:t xml:space="preserve">(i) Restoring the complainant to the position of employment held by the complainant when the discrimination occurred, or restoring the complainant to an equivalent position with equivalent employment hours, work schedule, benefits, pay, and other terms and conditions of employment; and</w:t>
      </w:r>
    </w:p>
    <w:p>
      <w:pPr>
        <w:spacing w:before="0" w:after="0" w:line="408" w:lineRule="exact"/>
        <w:ind w:left="0" w:right="0" w:firstLine="576"/>
        <w:jc w:val="left"/>
      </w:pPr>
      <w:r>
        <w:rPr>
          <w:u w:val="single"/>
        </w:rPr>
        <w:t xml:space="preserve">(ii) Ordering the employer to make payable to the complainant earnings that the complainant did not receive due to the employer's discriminatory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u w:val="single"/>
        </w:rPr>
        <w:t xml:space="preserve">(c) A civil penalty not to exceed the maximum penalty for a serious violation under this chapter may be assessed for the first occurrence. A civil penalty not to exceed the maximum penalty for a repeat violation under this chapter may be assessed for each repeat occurrence. Civil penalties are not contingent upon relief being granted to the worker.</w:t>
      </w:r>
    </w:p>
    <w:p>
      <w:pPr>
        <w:spacing w:before="0" w:after="0" w:line="408" w:lineRule="exact"/>
        <w:ind w:left="0" w:right="0" w:firstLine="576"/>
        <w:jc w:val="left"/>
      </w:pPr>
      <w:r>
        <w:rPr>
          <w:u w:val="single"/>
        </w:rPr>
        <w:t xml:space="preserve">(5) If the director finds there is insufficient evidence to determine that the provisions of this section have been violated, the director will issue a letter of closure and the employee may institute the action on his or her own behalf within 30 days of such determination. In any such action the superior court shall have jurisdiction, for cause shown, to restrain violations of subsection (1) of this section and order all appropriate relief including rehiring or reinstatement of the complainant to his or her former position with back pay.</w:t>
      </w:r>
    </w:p>
    <w:p>
      <w:pPr>
        <w:spacing w:before="0" w:after="0" w:line="408" w:lineRule="exact"/>
        <w:ind w:left="0" w:right="0" w:firstLine="576"/>
        <w:jc w:val="left"/>
      </w:pPr>
      <w:r>
        <w:rPr>
          <w:u w:val="single"/>
        </w:rPr>
        <w:t xml:space="preserve">(6) The department must notify the employer and the complainant of a citation and notice of assessment issued under subsection (4) of this section using a method by which the mailing can be tracked or the delivery can be confirmed. Citations and notices of assessments shall state that the employer has 30 days within which to notify the department that the employer wishes to appeal the citation or notice of assessment, and that the complainant has 15 working days within which to notify the department that the complainant wishes to appeal the order of appropriate relief in the notice of assessment. If, within 30 days from the communication of the notice issued by the director, the employer fails to notify the department that the employer intends to appeal the citation or notice of assessment, and no notice of appeal of the order of appropriate relief is filed by the complainant within such time, the citation and notice of assessment shall be deemed a final order of the department and not subject to review by any court or agency.</w:t>
      </w:r>
    </w:p>
    <w:p>
      <w:pPr>
        <w:spacing w:before="0" w:after="0" w:line="408" w:lineRule="exact"/>
        <w:ind w:left="0" w:right="0" w:firstLine="576"/>
        <w:jc w:val="left"/>
      </w:pPr>
      <w:r>
        <w:rPr>
          <w:u w:val="single"/>
        </w:rPr>
        <w:t xml:space="preserve">(7) If an employer or complainant notifies the department of an appeal, the department may reassume jurisdiction according to the timeline, process for hearing, and issuance of corrective notices of redetermination under RCW 49.17.140(4). The redetermination shall become final subject to direct appeal by an employer or complainant to the board of industrial insurance appeals within 15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the citation and notice of assessment and certify a full copy of the record in such appeal matters to the board. The board of industrial insurance appeals shall afford an opportunity for a hearing in the case of each such appellant and the department shall be represented in such hearing by the attorney general and the board shall in addition provide the complainant an opportunity to participate as a party to hearings of employer appeals under this subsection and provide the employer an opportunity to participate as a party to hearings of complainant appeals under this subsection. The board shall thereafter make disposition of the issues in accordance with procedures relative to contested cases appealed to the state board of industrial insurance appeals. A notice of appeal filed under this section shall stay the effectiveness of any citation or notice of assessment except orders of reinstatement pending review by the board of industrial insurance appeals.</w:t>
      </w:r>
    </w:p>
    <w:p>
      <w:pPr>
        <w:spacing w:before="0" w:after="0" w:line="408" w:lineRule="exact"/>
        <w:ind w:left="0" w:right="0" w:firstLine="576"/>
        <w:jc w:val="left"/>
      </w:pPr>
      <w:r>
        <w:rPr>
          <w:u w:val="single"/>
        </w:rPr>
        <w:t xml:space="preserve">(8) Civil penalties imposed under this section shall be paid to the director for deposit in the supplemental pension fund established in RCW 51.44.033.</w:t>
      </w:r>
    </w:p>
    <w:p>
      <w:pPr>
        <w:spacing w:before="0" w:after="0" w:line="408" w:lineRule="exact"/>
        <w:ind w:left="0" w:right="0" w:firstLine="576"/>
        <w:jc w:val="left"/>
      </w:pPr>
      <w:r>
        <w:rPr>
          <w:u w:val="single"/>
        </w:rPr>
        <w:t xml:space="preserve">(9) Collections of amounts owed for unpaid citations and notices of assessment will be handled pursuant to the procedures outlined in RCW 51.48.120 through 51.48.150.</w:t>
      </w:r>
    </w:p>
    <w:p>
      <w:pPr>
        <w:spacing w:before="0" w:after="0" w:line="408" w:lineRule="exact"/>
        <w:ind w:left="0" w:right="0" w:firstLine="576"/>
        <w:jc w:val="left"/>
      </w:pPr>
      <w:r>
        <w:rPr>
          <w:u w:val="single"/>
        </w:rPr>
        <w:t xml:space="preserve">(10) Nothing in this section diminishes the rights, privileges, or remedies of any employee under any federal or state law or under any collective bargaining agreement. The department and complainant may pursue remedies in superior court that are outside the board of industrial insurance appeals'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w:t>
      </w:r>
      <w:r>
        <w:t>((</w:t>
      </w:r>
      <w:r>
        <w:rPr>
          <w:strike/>
        </w:rPr>
        <w:t xml:space="preserve">(6)</w:t>
      </w:r>
      <w:r>
        <w:t>))</w:t>
      </w:r>
      <w:r>
        <w:rPr/>
        <w:t xml:space="preserve"> </w:t>
      </w:r>
      <w:r>
        <w:rPr>
          <w:u w:val="single"/>
        </w:rPr>
        <w:t xml:space="preserve">(7)</w:t>
      </w:r>
      <w:r>
        <w:rPr/>
        <w:t xml:space="preserve">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w:t>
      </w:r>
      <w:r>
        <w:t>((</w:t>
      </w:r>
      <w:r>
        <w:rPr>
          <w:strike/>
        </w:rPr>
        <w:t xml:space="preserve">(6)</w:t>
      </w:r>
      <w:r>
        <w:t>))</w:t>
      </w:r>
      <w:r>
        <w:rPr/>
        <w:t xml:space="preserve"> </w:t>
      </w:r>
      <w:r>
        <w:rPr>
          <w:u w:val="single"/>
        </w:rPr>
        <w:t xml:space="preserve">(7)</w:t>
      </w:r>
      <w:r>
        <w:rPr/>
        <w:t xml:space="preserve">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w:t>
      </w:r>
      <w:r>
        <w:rPr>
          <w:u w:val="single"/>
        </w:rPr>
        <w:t xml:space="preserve">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penalty for a serious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u w:val="single"/>
        </w:rPr>
        <w:t xml:space="preserve">(6)</w:t>
      </w:r>
      <w:r>
        <w:rPr/>
        <w:t xml:space="preserve">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event of a state of emergency as defined in RCW 43.06.010(12), the director is authorized to expend up to two percent per year of the net premiums earned in the accident fund in the prior fiscal year for the purpose of a safety grant program so long as the assets of the accident fund and pension reserve fund were at least 10 percent in excess of their funded liabilities in the fiscal quarter immediately preceding the state of emergency proclamation.</w:t>
      </w:r>
    </w:p>
    <w:p>
      <w:pPr>
        <w:spacing w:before="0" w:after="0" w:line="408" w:lineRule="exact"/>
        <w:ind w:left="0" w:right="0" w:firstLine="576"/>
        <w:jc w:val="left"/>
      </w:pPr>
      <w:r>
        <w:rPr/>
        <w:t xml:space="preserve">(2) The safety grant program shall provide one-time grants to employers to purchase equipment, gear, or make capital improvements so long as the purchase is not covered by another grant, government program, or insurance contract. The department may require matching funds from employers. Employers must apply for grants using an application developed by the department.</w:t>
      </w:r>
    </w:p>
    <w:p>
      <w:pPr>
        <w:spacing w:before="0" w:after="0" w:line="408" w:lineRule="exact"/>
        <w:ind w:left="0" w:right="0" w:firstLine="576"/>
        <w:jc w:val="left"/>
      </w:pPr>
      <w:r>
        <w:rPr/>
        <w:t xml:space="preserve">(3) Employers shall apply the safety grants to purchases of equipment, gear, or capital costs to meet any new safety and health requirements related to the emergency that are required before they are permitted to continue or resume business operations.</w:t>
      </w:r>
    </w:p>
    <w:p>
      <w:pPr>
        <w:spacing w:before="0" w:after="0" w:line="408" w:lineRule="exact"/>
        <w:ind w:left="0" w:right="0" w:firstLine="576"/>
        <w:jc w:val="left"/>
      </w:pPr>
      <w:r>
        <w:rPr/>
        <w:t xml:space="preserve">(4) An appropriation is not required for expenditures under this section.</w:t>
      </w:r>
    </w:p>
    <w:p>
      <w:pPr>
        <w:spacing w:before="0" w:after="0" w:line="408" w:lineRule="exact"/>
        <w:ind w:left="0" w:right="0" w:firstLine="576"/>
        <w:jc w:val="left"/>
      </w:pPr>
      <w:r>
        <w:rPr/>
        <w:t xml:space="preserve">(5) Only employers who pay premiums to the state fund as defined in RCW 51.08.175, are not self-insured as defined in RCW 51.08.173, and have 25 or fewer full-time equivalent employees are eligible for funding under this section.</w:t>
      </w:r>
    </w:p>
    <w:p>
      <w:pPr>
        <w:spacing w:before="0" w:after="0" w:line="408" w:lineRule="exact"/>
        <w:ind w:left="0" w:right="0" w:firstLine="576"/>
        <w:jc w:val="left"/>
      </w:pPr>
      <w:r>
        <w:rPr/>
        <w:t xml:space="preserve">(6) All funds expended from the accident fund for grants under this section must be reimbursed to the accident fund from the state general fund in the omnibus appropriations act adopted for the biennium following the expenditures.</w:t>
      </w:r>
    </w:p>
    <w:p>
      <w:pPr>
        <w:spacing w:before="0" w:after="0" w:line="408" w:lineRule="exact"/>
        <w:ind w:left="0" w:right="0" w:firstLine="576"/>
        <w:jc w:val="left"/>
      </w:pPr>
      <w:r>
        <w:rPr/>
        <w:t xml:space="preserve">(7) Rules that are adopted to implement this section must be done in consultation with stakeholders. Rules must include but are not limited to:</w:t>
      </w:r>
    </w:p>
    <w:p>
      <w:pPr>
        <w:spacing w:before="0" w:after="0" w:line="408" w:lineRule="exact"/>
        <w:ind w:left="0" w:right="0" w:firstLine="576"/>
        <w:jc w:val="left"/>
      </w:pPr>
      <w:r>
        <w:rPr/>
        <w:t xml:space="preserve">(a) Guidance for grant awards based on the type, scope, and time frame of a specific declared emergency; and</w:t>
      </w:r>
    </w:p>
    <w:p>
      <w:pPr>
        <w:spacing w:before="0" w:after="0" w:line="408" w:lineRule="exact"/>
        <w:ind w:left="0" w:right="0" w:firstLine="576"/>
        <w:jc w:val="left"/>
      </w:pPr>
      <w:r>
        <w:rPr/>
        <w:t xml:space="preserve">(b) Criteria for prioritizing grants for eligible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as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2090606eb1fe4d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83d8a597f4299" /><Relationship Type="http://schemas.openxmlformats.org/officeDocument/2006/relationships/footer" Target="/word/footer1.xml" Id="R2090606eb1fe4da6" /></Relationships>
</file>