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717a3b09ba4b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Orwall, Ortiz-Self, Kloba, Hackney, Chopp, Santos, Macri, Pollet,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funding and assistance for homeowners navigating the foreclosure process; amending RCW 61.24.005, 61.24.030, 61.24.031, 61.24.135, 61.24.165, 61.24.166, 61.24.172, and 61.24.173; adding a new section to chapter 61.24 RCW; adding a new section to chapter 42.56 RCW; creating new sections; repealing RCW 61.24.173;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whether mediation, reporting, and payment provisions of the foreclosure fairness act apply to any particular beneficiary in a given year is tied to the number of trustee's sales and number of notices of trustee's sale recorded in the preceding year. The legislature further finds that, due to the federal foreclosure moratorium in place from at least March of 2020 through December of 2020 and into the year 2021, it is likely that, absent legislative action, the mediation, reporting, and payment provisions of the foreclosure fairness act will apply to very few if any beneficiaries in calendar year 2021 or 2022 because the threshold numbers that trigger application of these provisions will not be met. The legislature therefore intends to put in place a temporary stopgap remedy so that vital assistance provisions of the foreclosure fairness act are not lost at the very time that foreclosure activity is likely to be increasing.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005</w:t>
      </w:r>
      <w:r>
        <w:rPr/>
        <w:t xml:space="preserve"> and 2014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beneficiary" means any entity which controls, is controlled by, or is under common control with a beneficiary.</w:t>
      </w:r>
    </w:p>
    <w:p>
      <w:pPr>
        <w:spacing w:before="0" w:after="0" w:line="408" w:lineRule="exact"/>
        <w:ind w:left="0" w:right="0" w:firstLine="576"/>
        <w:jc w:val="left"/>
      </w:pPr>
      <w:r>
        <w:rPr/>
        <w:t xml:space="preserve">(2) "Beneficiary" means the holder of the instrument or document evidencing the obligations secured by the deed of trust, excluding persons holding the same as security for a different obligation.</w:t>
      </w:r>
    </w:p>
    <w:p>
      <w:pPr>
        <w:spacing w:before="0" w:after="0" w:line="408" w:lineRule="exact"/>
        <w:ind w:left="0" w:right="0" w:firstLine="576"/>
        <w:jc w:val="left"/>
      </w:pPr>
      <w:r>
        <w:rPr/>
        <w:t xml:space="preserve">(3) "Borrower" means a person or a general partner in a partnership, including a joint venture, that is liable for all or part of the obligations secured by the deed of trust under the instrument or other document that is the principal evidence of such obligations, or the person's successors if they are liable for those obligations under a written agreement with the beneficiary.</w:t>
      </w:r>
    </w:p>
    <w:p>
      <w:pPr>
        <w:spacing w:before="0" w:after="0" w:line="408" w:lineRule="exact"/>
        <w:ind w:left="0" w:right="0" w:firstLine="576"/>
        <w:jc w:val="left"/>
      </w:pPr>
      <w:r>
        <w:rPr/>
        <w:t xml:space="preserve">(4) "Commercial loan" means a loan that is not made primarily for personal, family, or household purposes.</w:t>
      </w:r>
    </w:p>
    <w:p>
      <w:pPr>
        <w:spacing w:before="0" w:after="0" w:line="408" w:lineRule="exact"/>
        <w:ind w:left="0" w:right="0" w:firstLine="576"/>
        <w:jc w:val="left"/>
      </w:pPr>
      <w:r>
        <w:rPr/>
        <w:t xml:space="preserve">(5) "Department" means the department of commerce or its designee.</w:t>
      </w:r>
    </w:p>
    <w:p>
      <w:pPr>
        <w:spacing w:before="0" w:after="0" w:line="408" w:lineRule="exact"/>
        <w:ind w:left="0" w:right="0" w:firstLine="576"/>
        <w:jc w:val="left"/>
      </w:pPr>
      <w:r>
        <w:rPr/>
        <w:t xml:space="preserve">(6) "Fair value" means the value of the property encumbered by a deed of trust that is sold pursuant to a trustee's sale. This value shall be determined by the court or other appropriate adjudicator by reference to the most probable price, as of the date of the trustee's sale, which would be paid in cash or other immediately available funds, after deduction of prior liens and encumbrances with interest to the date of the trustee's sale, for which the property would sell on such date after reasonable exposure in the market under conditions requisite to a fair sale, with the buyer and seller each acting prudently, knowledgeably, and for self-interest, and assuming that neither is under duress.</w:t>
      </w:r>
    </w:p>
    <w:p>
      <w:pPr>
        <w:spacing w:before="0" w:after="0" w:line="408" w:lineRule="exact"/>
        <w:ind w:left="0" w:right="0" w:firstLine="576"/>
        <w:jc w:val="left"/>
      </w:pPr>
      <w:r>
        <w:rPr/>
        <w:t xml:space="preserve">(7) "Grantor" means a person, or its successors, who executes a deed of trust to encumber the person's interest in property as security for the performance of all or part of the borrower's obligations.</w:t>
      </w:r>
    </w:p>
    <w:p>
      <w:pPr>
        <w:spacing w:before="0" w:after="0" w:line="408" w:lineRule="exact"/>
        <w:ind w:left="0" w:right="0" w:firstLine="576"/>
        <w:jc w:val="left"/>
      </w:pPr>
      <w:r>
        <w:rPr/>
        <w:t xml:space="preserve">(8) "Guarantor" means any person and its successors who is not a borrower and who guarantees any of the obligations secured by a deed of trust in any written agreement other than the deed of trust.</w:t>
      </w:r>
    </w:p>
    <w:p>
      <w:pPr>
        <w:spacing w:before="0" w:after="0" w:line="408" w:lineRule="exact"/>
        <w:ind w:left="0" w:right="0" w:firstLine="576"/>
        <w:jc w:val="left"/>
      </w:pPr>
      <w:r>
        <w:rPr/>
        <w:t xml:space="preserve">(9) "Housing counselor" means a housing counselor that has been approved by the United States department of housing and urban development or approved by the Washington state housing finance commission.</w:t>
      </w:r>
    </w:p>
    <w:p>
      <w:pPr>
        <w:spacing w:before="0" w:after="0" w:line="408" w:lineRule="exact"/>
        <w:ind w:left="0" w:right="0" w:firstLine="576"/>
        <w:jc w:val="left"/>
      </w:pPr>
      <w:r>
        <w:rPr/>
        <w:t xml:space="preserve">(10) "Owner-occupied" means property that is the principal residence of the borrower.</w:t>
      </w:r>
    </w:p>
    <w:p>
      <w:pPr>
        <w:spacing w:before="0" w:after="0" w:line="408" w:lineRule="exact"/>
        <w:ind w:left="0" w:right="0" w:firstLine="576"/>
        <w:jc w:val="left"/>
      </w:pPr>
      <w:r>
        <w:rPr/>
        <w:t xml:space="preserve">(11) "Person" means any natural person, or legal or governmental entity.</w:t>
      </w:r>
    </w:p>
    <w:p>
      <w:pPr>
        <w:spacing w:before="0" w:after="0" w:line="408" w:lineRule="exact"/>
        <w:ind w:left="0" w:right="0" w:firstLine="576"/>
        <w:jc w:val="left"/>
      </w:pPr>
      <w:r>
        <w:rPr/>
        <w:t xml:space="preserve">(12) "Record" and "recorded" includes the appropriate registration proceedings, in the instance of registered land.</w:t>
      </w:r>
    </w:p>
    <w:p>
      <w:pPr>
        <w:spacing w:before="0" w:after="0" w:line="408" w:lineRule="exact"/>
        <w:ind w:left="0" w:right="0" w:firstLine="576"/>
        <w:jc w:val="left"/>
      </w:pPr>
      <w:r>
        <w:rPr/>
        <w:t xml:space="preserve">(13) "Residential real property" means property consisting solely of a single-family residence, a residential condominium unit, or a residential cooperative unit. For the purposes of the application of RCW 61.24.163, </w:t>
      </w:r>
      <w:r>
        <w:t>((</w:t>
      </w:r>
      <w:r>
        <w:rPr>
          <w:strike/>
        </w:rPr>
        <w:t xml:space="preserve">owner-occupied</w:t>
      </w:r>
      <w:r>
        <w:t>))</w:t>
      </w:r>
      <w:r>
        <w:rPr/>
        <w:t xml:space="preserve"> residential real property includes residential real property of up to four units.</w:t>
      </w:r>
    </w:p>
    <w:p>
      <w:pPr>
        <w:spacing w:before="0" w:after="0" w:line="408" w:lineRule="exact"/>
        <w:ind w:left="0" w:right="0" w:firstLine="576"/>
        <w:jc w:val="left"/>
      </w:pPr>
      <w:r>
        <w:rPr/>
        <w:t xml:space="preserve">(14) "Senior beneficiary" means the beneficiary of a deed of trust that has priority over any other deeds of trust encumbering the same residential real property.</w:t>
      </w:r>
    </w:p>
    <w:p>
      <w:pPr>
        <w:spacing w:before="0" w:after="0" w:line="408" w:lineRule="exact"/>
        <w:ind w:left="0" w:right="0" w:firstLine="576"/>
        <w:jc w:val="left"/>
      </w:pPr>
      <w:r>
        <w:rPr/>
        <w:t xml:space="preserve">(15) "Tenant-occupied property" means property consisting solely of residential real property that is the principal residence of a tenant subject to chapter 59.18 RCW or other building with four or fewer residential units that is the principal residence of a tenant subject to chapter 59.18 RCW.</w:t>
      </w:r>
    </w:p>
    <w:p>
      <w:pPr>
        <w:spacing w:before="0" w:after="0" w:line="408" w:lineRule="exact"/>
        <w:ind w:left="0" w:right="0" w:firstLine="576"/>
        <w:jc w:val="left"/>
      </w:pPr>
      <w:r>
        <w:rPr/>
        <w:t xml:space="preserve">(16) "Trustee" means the person designated as the trustee in the deed of trust or appointed under RCW 61.24.010(2).</w:t>
      </w:r>
    </w:p>
    <w:p>
      <w:pPr>
        <w:spacing w:before="0" w:after="0" w:line="408" w:lineRule="exact"/>
        <w:ind w:left="0" w:right="0" w:firstLine="576"/>
        <w:jc w:val="left"/>
      </w:pPr>
      <w:r>
        <w:rPr/>
        <w:t xml:space="preserve">(17) "Trustee's sale" means a nonjudicial sale under a deed of trust undertaken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2018 c 306 s 1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w:t>
      </w:r>
      <w:r>
        <w:rPr>
          <w:u w:val="single"/>
        </w:rPr>
        <w:t xml:space="preserve">of up to four units</w:t>
      </w:r>
      <w:r>
        <w:rPr/>
        <w:t xml:space="preserve">,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and, for residential real property </w:t>
      </w:r>
      <w:r>
        <w:rPr>
          <w:u w:val="single"/>
        </w:rPr>
        <w:t xml:space="preserve">of up to four units</w:t>
      </w:r>
      <w:r>
        <w:rPr/>
        <w:t xml:space="preserve">,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w:t>
      </w:r>
      <w:r>
        <w:t>((</w:t>
      </w:r>
      <w:r>
        <w:rPr>
          <w:strike/>
        </w:rPr>
        <w:t xml:space="preserve">owner</w:t>
      </w:r>
      <w:r>
        <w:rPr/>
        <w:noBreakHyphen/>
      </w:r>
      <w:r>
        <w:rPr>
          <w:strike/>
        </w:rPr>
        <w:t xml:space="preserve">occupied</w:t>
      </w:r>
      <w:r>
        <w:t>))</w:t>
      </w:r>
      <w:r>
        <w:rPr/>
        <w:t xml:space="preserve"> residential real property </w:t>
      </w:r>
      <w:r>
        <w:rPr>
          <w:u w:val="single"/>
        </w:rPr>
        <w:t xml:space="preserve">of up to four units</w:t>
      </w:r>
      <w:r>
        <w:rPr/>
        <w:t xml:space="preserve">,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w:t>
      </w:r>
      <w:r>
        <w:rPr>
          <w:u w:val="single"/>
        </w:rPr>
        <w:t xml:space="preserve">of up to four units</w:t>
      </w:r>
      <w:r>
        <w:rPr/>
        <w:t xml:space="preserve">,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w:t>
      </w:r>
      <w:r>
        <w:t>((</w:t>
      </w:r>
      <w:r>
        <w:rPr>
          <w:strike/>
        </w:rPr>
        <w:t xml:space="preserve">owner-occupied</w:t>
      </w:r>
      <w:r>
        <w:t>))</w:t>
      </w:r>
      <w:r>
        <w:rPr/>
        <w:t xml:space="preserve"> residential real property </w:t>
      </w:r>
      <w:r>
        <w:rPr>
          <w:u w:val="single"/>
        </w:rPr>
        <w:t xml:space="preserve">of up to four units</w:t>
      </w:r>
      <w:r>
        <w:rPr/>
        <w:t xml:space="preserve">,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2014 c 164 s 2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w:t>
      </w:r>
      <w:r>
        <w:t>((</w:t>
      </w:r>
      <w:r>
        <w:rPr>
          <w:strike/>
        </w:rPr>
        <w:t xml:space="preserve">owner-occupied</w:t>
      </w:r>
      <w:r>
        <w:t>))</w:t>
      </w:r>
      <w:r>
        <w:rPr/>
        <w:t xml:space="preserve"> residential real property </w:t>
      </w:r>
      <w:r>
        <w:rPr>
          <w:u w:val="single"/>
        </w:rPr>
        <w:t xml:space="preserve">of up to four units</w:t>
      </w:r>
      <w:r>
        <w:rPr/>
        <w:t xml:space="preserve">.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64.32, 64.34, or 64.38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2016 c 196 s 3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 as it existed prior to July 1, 2016, </w:t>
      </w:r>
      <w:r>
        <w:t>((</w:t>
      </w:r>
      <w:r>
        <w:rPr>
          <w:strike/>
        </w:rPr>
        <w:t xml:space="preserve">or</w:t>
      </w:r>
      <w:r>
        <w:t>))</w:t>
      </w:r>
      <w:r>
        <w:rPr/>
        <w:t xml:space="preserve"> RCW 61.24.173</w:t>
      </w:r>
      <w:r>
        <w:rPr>
          <w:u w:val="single"/>
        </w:rPr>
        <w:t xml:space="preserve">, or section 11 of this act</w:t>
      </w:r>
      <w:r>
        <w:rPr/>
        <w:t xml:space="preserve">; or (c) fail to initiate contact with a borrower and exercise due diligence as required under RCW 61.24.031.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2014 c 164 s 4 are each amended to read as follows:</w:t>
      </w:r>
    </w:p>
    <w:p>
      <w:pPr>
        <w:spacing w:before="0" w:after="0" w:line="408" w:lineRule="exact"/>
        <w:ind w:left="0" w:right="0" w:firstLine="576"/>
        <w:jc w:val="left"/>
      </w:pPr>
      <w:r>
        <w:rPr/>
        <w:t xml:space="preserve">(1) RCW 61.24.163 applies only to deeds of trust that are recorded against </w:t>
      </w:r>
      <w:r>
        <w:t>((</w:t>
      </w:r>
      <w:r>
        <w:rPr>
          <w:strike/>
        </w:rPr>
        <w:t xml:space="preserve">owner-occupied</w:t>
      </w:r>
      <w:r>
        <w:t>))</w:t>
      </w:r>
      <w:r>
        <w:rPr/>
        <w:t xml:space="preserve"> residential real property of up to four units. </w:t>
      </w:r>
      <w:r>
        <w:t>((</w:t>
      </w:r>
      <w:r>
        <w:rPr>
          <w:strike/>
        </w:rPr>
        <w:t xml:space="preserve">The property must have been owner-occupied as of the date the initial contact under RCW 61.24.031 was made.</w:t>
      </w:r>
      <w:r>
        <w:t>))</w:t>
      </w:r>
    </w:p>
    <w:p>
      <w:pPr>
        <w:spacing w:before="0" w:after="0" w:line="408" w:lineRule="exact"/>
        <w:ind w:left="0" w:right="0" w:firstLine="576"/>
        <w:jc w:val="left"/>
      </w:pPr>
      <w:r>
        <w:rPr/>
        <w:t xml:space="preserve">(2) </w:t>
      </w:r>
      <w:r>
        <w:t>((</w:t>
      </w:r>
      <w:r>
        <w:rPr>
          <w:strike/>
        </w:rPr>
        <w:t xml:space="preserve">A borrower under a deed of trust on owner-occupied residential real property who has received a notice of default on or before July 22, 2011, may be referred to mediation under RCW 61.24.163 by a housing counselor or attorney.</w:t>
      </w:r>
    </w:p>
    <w:p>
      <w:pPr>
        <w:spacing w:before="0" w:after="0" w:line="408" w:lineRule="exact"/>
        <w:ind w:left="0" w:right="0" w:firstLine="576"/>
        <w:jc w:val="left"/>
      </w:pPr>
      <w:r>
        <w:rPr>
          <w:strike/>
        </w:rPr>
        <w:t xml:space="preserve">(3)</w:t>
      </w:r>
      <w:r>
        <w:t>))</w:t>
      </w:r>
      <w:r>
        <w:rPr/>
        <w:t xml:space="preserve">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 </w:t>
      </w:r>
      <w:r>
        <w:t>((</w:t>
      </w:r>
      <w:r>
        <w:rPr>
          <w:strike/>
        </w:rPr>
        <w:t xml:space="preserve">or</w:t>
      </w:r>
      <w:r>
        <w:t>))</w:t>
      </w:r>
    </w:p>
    <w:p>
      <w:pPr>
        <w:spacing w:before="0" w:after="0" w:line="408" w:lineRule="exact"/>
        <w:ind w:left="0" w:right="0" w:firstLine="576"/>
        <w:jc w:val="left"/>
      </w:pPr>
      <w:r>
        <w:rPr/>
        <w:t xml:space="preserve">(c) Securing a purchaser's obligations under a seller-financed sale</w:t>
      </w:r>
      <w:r>
        <w:rPr>
          <w:u w:val="single"/>
        </w:rPr>
        <w:t xml:space="preserve">; or</w:t>
      </w:r>
    </w:p>
    <w:p>
      <w:pPr>
        <w:spacing w:before="0" w:after="0" w:line="408" w:lineRule="exact"/>
        <w:ind w:left="0" w:right="0" w:firstLine="576"/>
        <w:jc w:val="left"/>
      </w:pPr>
      <w:r>
        <w:rPr>
          <w:u w:val="single"/>
        </w:rPr>
        <w:t xml:space="preserve">(d) Where the grantor is a partnership, corporation, or limited liability company, or where the property is vested in a partnership, corporation, or limited liability company at the time the notice of default is issued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RCW 61.24.163 does not apply to association beneficiaries subject to chapter 64.32, 64.34, or 64.38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referral and mediation under RCW 61.24.163, a person may be referred to mediation if the borrower is deceased and the person is a successor in interest of the deceased borrower who occupies the property as his or her primary residence.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2011 c 58 s 9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Beginning on January 1, 2023, the</w:t>
      </w:r>
      <w:r>
        <w:rPr/>
        <w:t xml:space="preserve"> provisions of RCW 61.24.163 do not apply to any federally insured depository institution, as defined in 12 U.S.C. Sec. 461(b)(1)(A), that certifies to the department under penalty of perjury that it was not a beneficiary of deeds of trust in more than two hundred fifty</w:t>
      </w:r>
      <w:r>
        <w:rPr/>
        <w:t xml:space="preserve"> trustee sales of </w:t>
      </w:r>
      <w:r>
        <w:t>((</w:t>
      </w:r>
      <w:r>
        <w:rPr>
          <w:strike/>
        </w:rPr>
        <w:t xml:space="preserve">owner-occupied</w:t>
      </w:r>
      <w:r>
        <w:t>))</w:t>
      </w:r>
      <w:r>
        <w:rPr/>
        <w:t xml:space="preserve"> residential real property </w:t>
      </w:r>
      <w:r>
        <w:rPr>
          <w:u w:val="single"/>
        </w:rPr>
        <w:t xml:space="preserve">of up to four units</w:t>
      </w:r>
      <w:r>
        <w:rPr/>
        <w:t xml:space="preserve"> that occurred in this state during the preceding calendar year. A federally insured depository institution certifying that RCW 61.24.163 does not apply must do so annually, beginning no later than </w:t>
      </w:r>
      <w:r>
        <w:t>((</w:t>
      </w:r>
      <w:r>
        <w:rPr>
          <w:strike/>
        </w:rPr>
        <w:t xml:space="preserve">thirty days after July 22, 2011</w:t>
      </w:r>
      <w:r>
        <w:t>))</w:t>
      </w:r>
      <w:r>
        <w:rPr/>
        <w:t xml:space="preserve"> </w:t>
      </w:r>
      <w:r>
        <w:rPr>
          <w:u w:val="single"/>
        </w:rPr>
        <w:t xml:space="preserve">January 31, 2023</w:t>
      </w:r>
      <w:r>
        <w:rPr/>
        <w:t xml:space="preserve">, and no later than January 31st of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t xml:space="preserve">(2) During the 2022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property that occurred in this state during 2019. A federally insured depository institution certifying that RCW 61.24.163 does not apply pursuant to this subsection must do so no later than January 31, 2022.</w:t>
      </w:r>
    </w:p>
    <w:p>
      <w:pPr>
        <w:spacing w:before="0" w:after="0" w:line="408" w:lineRule="exact"/>
        <w:ind w:left="0" w:right="0" w:firstLine="576"/>
        <w:jc w:val="left"/>
      </w:pPr>
      <w:r>
        <w:rPr/>
        <w:t xml:space="preserve">(3)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2016 c 196 s 1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 as it existed prior to July 1, 2016, </w:t>
      </w:r>
      <w:r>
        <w:t>((</w:t>
      </w:r>
      <w:r>
        <w:rPr>
          <w:strike/>
        </w:rPr>
        <w:t xml:space="preserve">and</w:t>
      </w:r>
      <w:r>
        <w:t>))</w:t>
      </w:r>
      <w:r>
        <w:rPr/>
        <w:t xml:space="preserve"> RCW 61.24.173</w:t>
      </w:r>
      <w:r>
        <w:rPr>
          <w:u w:val="single"/>
        </w:rPr>
        <w:t xml:space="preserve">, and section 11 of this act</w:t>
      </w:r>
      <w:r>
        <w:rPr/>
        <w:t xml:space="preserve">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Biennial expenditures from the account must be used as follows: Four hundred thousand dollars to fund the counselor referral hotline. The remaining funds shall be distributed as follows: (1) Sixty-nine percent for the purposes of providing housing counseling activities to benefit borrowers; (2) eight percent to the office of the attorney general to be used by the consumer protection division to enforce this chapter; (3) six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and (4) seventeen percent to the department to be used for implementation and operation of the foreclosure fairness act.</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2018 c 306 s 7 are each amended to read as follows:</w:t>
      </w:r>
    </w:p>
    <w:p>
      <w:pPr>
        <w:spacing w:before="0" w:after="0" w:line="408" w:lineRule="exact"/>
        <w:ind w:left="0" w:right="0" w:firstLine="576"/>
        <w:jc w:val="left"/>
      </w:pPr>
      <w:r>
        <w:rPr/>
        <w:t xml:space="preserve">(1) Except as provided in subsections (5) and (6)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three hundred twenty-five dollars</w:t>
      </w:r>
      <w:r>
        <w:t>))</w:t>
      </w:r>
      <w:r>
        <w:rPr/>
        <w:t xml:space="preserve"> </w:t>
      </w:r>
      <w:r>
        <w:rPr>
          <w:u w:val="single"/>
        </w:rPr>
        <w:t xml:space="preserve">$325</w:t>
      </w:r>
      <w:r>
        <w:rPr/>
        <w:t xml:space="preserve"> to the department to be deposited, as provided under RCW 61.24.172, into the foreclosure fairness account. The </w:t>
      </w:r>
      <w:r>
        <w:t>((</w:t>
      </w:r>
      <w:r>
        <w:rPr>
          <w:strike/>
        </w:rPr>
        <w:t xml:space="preserve">three hundred twenty-five dollar</w:t>
      </w:r>
      <w:r>
        <w:t>))</w:t>
      </w:r>
      <w:r>
        <w:rPr/>
        <w:t xml:space="preserve"> </w:t>
      </w:r>
      <w:r>
        <w:rPr>
          <w:u w:val="single"/>
        </w:rPr>
        <w:t xml:space="preserve">$325</w:t>
      </w:r>
      <w:r>
        <w:rPr/>
        <w:t xml:space="preserve"> payment is required for every recorded notice of trustee's sale for noncommercial loans on residential real property, but does not apply to the recording of an amended notice of trustee's sale. No later than January 1, 2020, the department may from time to time adjust the amount of the fee, not to exceed </w:t>
      </w:r>
      <w:r>
        <w:t>((</w:t>
      </w:r>
      <w:r>
        <w:rPr>
          <w:strike/>
        </w:rPr>
        <w:t xml:space="preserve">three hundred twenty-five dollars</w:t>
      </w:r>
      <w:r>
        <w:t>))</w:t>
      </w:r>
      <w:r>
        <w:rPr/>
        <w:t xml:space="preserve"> </w:t>
      </w:r>
      <w:r>
        <w:rPr>
          <w:u w:val="single"/>
        </w:rPr>
        <w:t xml:space="preserve">$325</w:t>
      </w:r>
      <w:r>
        <w:rPr/>
        <w:t xml:space="preserve">, at a sufficient level to defray the costs of the program. The beneficiary shall remit the total amount required in a lump sum each quarter.</w:t>
      </w:r>
    </w:p>
    <w:p>
      <w:pPr>
        <w:spacing w:before="0" w:after="0" w:line="408" w:lineRule="exact"/>
        <w:ind w:left="0" w:right="0" w:firstLine="576"/>
        <w:jc w:val="left"/>
      </w:pPr>
      <w:r>
        <w:rPr/>
        <w:t xml:space="preserve">(3) 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t xml:space="preserve">(4) Reporting and payments under subsections (1) and (2) of this section are due within </w:t>
      </w:r>
      <w:r>
        <w:t>((</w:t>
      </w:r>
      <w:r>
        <w:rPr>
          <w:strike/>
        </w:rPr>
        <w:t xml:space="preserve">forty-five</w:t>
      </w:r>
      <w:r>
        <w:t>))</w:t>
      </w:r>
      <w:r>
        <w:rPr/>
        <w:t xml:space="preserve"> </w:t>
      </w:r>
      <w:r>
        <w:rPr>
          <w:u w:val="single"/>
        </w:rPr>
        <w:t xml:space="preserve">45</w:t>
      </w:r>
      <w:r>
        <w:rPr/>
        <w:t xml:space="preserve"> days of the end of each quarter.</w:t>
      </w:r>
    </w:p>
    <w:p>
      <w:pPr>
        <w:spacing w:before="0" w:after="0" w:line="408" w:lineRule="exact"/>
        <w:ind w:left="0" w:right="0" w:firstLine="576"/>
        <w:jc w:val="left"/>
      </w:pPr>
      <w:r>
        <w:rPr/>
        <w:t xml:space="preserve">(5) </w:t>
      </w:r>
      <w:r>
        <w:t>((</w:t>
      </w:r>
      <w:r>
        <w:rPr>
          <w:strike/>
        </w:rPr>
        <w:t xml:space="preserve">This</w:t>
      </w:r>
      <w:r>
        <w:t>))</w:t>
      </w:r>
      <w:r>
        <w:rPr/>
        <w:t xml:space="preserve"> </w:t>
      </w:r>
      <w:r>
        <w:rPr>
          <w:u w:val="single"/>
        </w:rPr>
        <w:t xml:space="preserve">(a) Except as provided in (b) of this subsection, this</w:t>
      </w:r>
      <w:r>
        <w:rPr/>
        <w:t xml:space="preserve"> section does not apply to any beneficiary or loan servicer that is a federally insured depository institution, as defined in 12 U.S.C. Sec. 461(b)(1)(A), and that certifies under penalty of perjury that fewer than </w:t>
      </w:r>
      <w:r>
        <w:t>((</w:t>
      </w:r>
      <w:r>
        <w:rPr>
          <w:strike/>
        </w:rPr>
        <w:t xml:space="preserve">fifty</w:t>
      </w:r>
      <w:r>
        <w:t>))</w:t>
      </w:r>
      <w:r>
        <w:rPr/>
        <w:t xml:space="preserve"> </w:t>
      </w:r>
      <w:r>
        <w:rPr>
          <w:u w:val="single"/>
        </w:rPr>
        <w:t xml:space="preserve">50</w:t>
      </w:r>
      <w:r>
        <w:rPr/>
        <w:t xml:space="preserve"> notices of trustee's sale were recorded on its behalf in the preceding year.</w:t>
      </w:r>
    </w:p>
    <w:p>
      <w:pPr>
        <w:spacing w:before="0" w:after="0" w:line="408" w:lineRule="exact"/>
        <w:ind w:left="0" w:right="0" w:firstLine="576"/>
        <w:jc w:val="left"/>
      </w:pPr>
      <w:r>
        <w:rPr>
          <w:u w:val="single"/>
        </w:rPr>
        <w:t xml:space="preserve">(b) During the 2021 and 2022 calendar years,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(6) This section does not apply to association beneficiaries subject to chapter 64.32, 64.34, or 64.38 RCW.</w:t>
      </w:r>
    </w:p>
    <w:p>
      <w:pPr>
        <w:spacing w:before="0" w:after="0" w:line="408" w:lineRule="exact"/>
        <w:ind w:left="0" w:right="0" w:firstLine="576"/>
        <w:jc w:val="left"/>
      </w:pPr>
      <w:r>
        <w:rPr/>
        <w:t xml:space="preserve">(7) For purposes of this section, "residential real property" includes residential real property with up to four dwelling units, whether or not the property or any part thereof is owner-occupied.</w:t>
      </w:r>
    </w:p>
    <w:p>
      <w:pPr>
        <w:spacing w:before="0" w:after="0" w:line="408" w:lineRule="exact"/>
        <w:ind w:left="0" w:right="0" w:firstLine="576"/>
        <w:jc w:val="left"/>
      </w:pPr>
      <w:r>
        <w:rPr>
          <w:u w:val="single"/>
        </w:rPr>
        <w:t xml:space="preserve">(8) After the effective date of section 11 of this act, the requirements of this section apply only with respect to notices of trustee's sale for which remittance and reporting on a notice of default for that same residential real property was not made pursuant to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t xml:space="preserve">(7) This section does not apply to association beneficiaries subject to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section 11 of this act that reveals the name or other personal information of the borrower or the street address of the residential real property on which a notice of default was issued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(Required payment for each property subject to notice of trustee's sale</w:t>
      </w:r>
      <w:r>
        <w:rPr>
          <w:rFonts w:ascii="Times New Roman" w:hAnsi="Times New Roman"/>
        </w:rPr>
        <w:t xml:space="preserve">—</w:t>
      </w:r>
      <w:r>
        <w:rPr/>
        <w:t xml:space="preserve">Residential real property</w:t>
      </w:r>
      <w:r>
        <w:rPr>
          <w:rFonts w:ascii="Times New Roman" w:hAnsi="Times New Roman"/>
        </w:rPr>
        <w:t xml:space="preserve">—</w:t>
      </w:r>
      <w:r>
        <w:rPr/>
        <w:t xml:space="preserve">Exceptions</w:t>
      </w:r>
      <w:r>
        <w:rPr>
          <w:rFonts w:ascii="Times New Roman" w:hAnsi="Times New Roman"/>
        </w:rPr>
        <w:t xml:space="preserve">—</w:t>
      </w:r>
      <w:r>
        <w:rPr/>
        <w:t xml:space="preserve">Deposit into foreclosure fairness account) and 2018 c 306 s 7 &amp; 2016 c 196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13 of this act does not affect any existing right acquired or liability or obligation incurred under the section repealed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8, and 10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9, 11, and 12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14 of this act take effect June 30, 2023.</w:t>
      </w:r>
    </w:p>
    <w:p/>
    <w:p>
      <w:pPr>
        <w:jc w:val="center"/>
      </w:pPr>
      <w:r>
        <w:rPr>
          <w:b/>
        </w:rPr>
        <w:t>--- END ---</w:t>
      </w:r>
    </w:p>
    <w:sectPr>
      <w:pgNumType w:start="1"/>
      <w:footerReference xmlns:r="http://schemas.openxmlformats.org/officeDocument/2006/relationships" r:id="R8aef5653d0004a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d99f6a14e4a3b" /><Relationship Type="http://schemas.openxmlformats.org/officeDocument/2006/relationships/footer" Target="/word/footer1.xml" Id="R8aef5653d0004a62" /></Relationships>
</file>