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6516253e04a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1127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Slatter, Boehnke, Valdez, Kloba, Graham, Macri,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COVID-19 health data collected by entities other than public health agencies, health care providers, and health care facilities; amending RCW 42.56.360; adding a new chapter to Title 70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department of labor and industries for purposes of administering chapter 49.17 RCW;</w:t>
      </w:r>
    </w:p>
    <w:p>
      <w:pPr>
        <w:spacing w:before="0" w:after="0" w:line="408" w:lineRule="exact"/>
        <w:ind w:left="0" w:right="0" w:firstLine="576"/>
        <w:jc w:val="left"/>
      </w:pPr>
      <w:r>
        <w:rPr/>
        <w:t xml:space="preserve">(vi) The state long-term care ombuds program;</w:t>
      </w:r>
    </w:p>
    <w:p>
      <w:pPr>
        <w:spacing w:before="0" w:after="0" w:line="408" w:lineRule="exact"/>
        <w:ind w:left="0" w:right="0" w:firstLine="576"/>
        <w:jc w:val="left"/>
      </w:pPr>
      <w:r>
        <w:rPr/>
        <w:t xml:space="preserve">(vii)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(viii) A service provider;</w:t>
      </w:r>
    </w:p>
    <w:p>
      <w:pPr>
        <w:spacing w:before="0" w:after="0" w:line="408" w:lineRule="exact"/>
        <w:ind w:left="0" w:right="0" w:firstLine="576"/>
        <w:jc w:val="left"/>
      </w:pPr>
      <w:r>
        <w:rPr/>
        <w:t xml:space="preserve">(ix) A person acting in their individual or household capacity; or</w:t>
      </w:r>
    </w:p>
    <w:p>
      <w:pPr>
        <w:spacing w:before="0" w:after="0" w:line="408" w:lineRule="exact"/>
        <w:ind w:left="0" w:right="0" w:firstLine="576"/>
        <w:jc w:val="left"/>
      </w:pPr>
      <w:r>
        <w:rPr/>
        <w:t xml:space="preserve">(x)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state, or local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(3)(a) A general authority Washington law enforcement agency or limited authority Washington law enforcement agency, as defined in RCW 10.93.020, or a federal immigration authority may not collect, use, or disclose COVID-19 health data for the purpose of enforcing criminal or civil law.</w:t>
      </w:r>
    </w:p>
    <w:p>
      <w:pPr>
        <w:spacing w:before="0" w:after="0" w:line="408" w:lineRule="exact"/>
        <w:ind w:left="0" w:right="0" w:firstLine="576"/>
        <w:jc w:val="left"/>
      </w:pPr>
      <w:r>
        <w:rPr/>
        <w:t xml:space="preserve">(b) The Washington state department of social and health services is exempt from (a) of this subsection.</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0" w:after="0" w:line="408" w:lineRule="exact"/>
        <w:ind w:left="0" w:right="0" w:firstLine="576"/>
        <w:jc w:val="left"/>
      </w:pPr>
      <w:r>
        <w:rPr/>
        <w:t xml:space="preserve">(5) Nothing in this act prohibits the medicaid fraud division of Washington attorney general's office from collecting, using, or disclosing, as legally permitted, COVID-19 health data for the enforcement of criminal and/or civil law. Furthermore, nothing in this act prevents or prohibits covered entities from providing COVID-19 health data to the medicaid fraud control division of Washington attorney general's office for the enforcement of criminal or civil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31481d2c73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6a04d6857f448f" /><Relationship Type="http://schemas.openxmlformats.org/officeDocument/2006/relationships/footer" Target="/word/footer1.xml" Id="R9931481d2c7340b0" /></Relationships>
</file>