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98c92b96ce4e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Riccelli, Ormsby,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2019 c 281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rate of tax may not exceed two-tenths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must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must review and negotiate or affirm the terms of the contract.</w:t>
      </w:r>
    </w:p>
    <w:p>
      <w:pPr>
        <w:spacing w:before="0" w:after="0" w:line="408" w:lineRule="exact"/>
        <w:ind w:left="0" w:right="0" w:firstLine="576"/>
        <w:jc w:val="left"/>
      </w:pPr>
      <w:r>
        <w:rPr/>
        <w:t xml:space="preserve">(6)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one million five hundred thousand</w:t>
      </w:r>
      <w:r>
        <w:rPr>
          <w:u w:val="single"/>
        </w:rPr>
        <w:t xml:space="preserve">,</w:t>
      </w:r>
      <w:r>
        <w:rPr/>
        <w:t xml:space="preserve"> in which any city over fifty thousand operates emergency communication systems and facilities either independently or as a member of a regional emergency communication agency must enter into an interlocal agreement with the city </w:t>
      </w:r>
      <w:r>
        <w:rPr>
          <w:u w:val="single"/>
        </w:rPr>
        <w:t xml:space="preserve">either independently or as a member of a regional emergency communications agency</w:t>
      </w:r>
      <w:r>
        <w:rPr/>
        <w:t xml:space="preserve">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(6)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City representation in the interlocal agreement process must include a representative from the mayor's office and the city council president. In a city that operates under a council-manager form of government under chapter 35.18 or 35A.13 RCW, city representation must include the city manager or the city manager's designee.</w:t>
      </w:r>
    </w:p>
    <w:p>
      <w:pPr>
        <w:spacing w:before="0" w:after="0" w:line="408" w:lineRule="exact"/>
        <w:ind w:left="0" w:right="0" w:firstLine="576"/>
        <w:jc w:val="left"/>
      </w:pPr>
      <w:r>
        <w:rPr>
          <w:u w:val="single"/>
        </w:rPr>
        <w:t xml:space="preserve">(c) The time frame provided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(7)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five hundred thousand</w:t>
      </w:r>
      <w:r>
        <w:rPr/>
        <w:t xml:space="preserve"> but less than one million five hundred thousand</w:t>
      </w:r>
      <w:r>
        <w:rPr>
          <w:u w:val="single"/>
        </w:rPr>
        <w:t xml:space="preserve">,</w:t>
      </w:r>
      <w:r>
        <w:rPr/>
        <w:t xml:space="preserve"> in which any city over fifty thousand operates emergency communication systems and facilities must enter into an interlocal agreement with the city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(7)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The time frame established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(8) </w:t>
      </w:r>
      <w:r>
        <w:rPr>
          <w:u w:val="single"/>
        </w:rPr>
        <w:t xml:space="preserve">If a county and a city that are required to enter into an interlocal agreement under subsection (6) or (7) of this section fail to enter into an interlocal agreement within the allotted time frame or the extended time frame as provided in subsection (6)(a)(i) or (c) or (7)(a)(i) or (b) of this section, then the city or county may seek equitable apportionment of the tax authorized under this section in the county's superior court. Equitable apportionment must be provided retroactively beginning from when the county and city met the population thresholds under subsection (6) or (7) of this section or the effective date of this section, whichever is later.</w:t>
      </w:r>
    </w:p>
    <w:p>
      <w:pPr>
        <w:spacing w:before="0" w:after="0" w:line="408" w:lineRule="exact"/>
        <w:ind w:left="0" w:right="0" w:firstLine="576"/>
        <w:jc w:val="left"/>
      </w:pPr>
      <w:r>
        <w:rPr>
          <w:u w:val="single"/>
        </w:rPr>
        <w:t xml:space="preserve">(9)</w:t>
      </w:r>
      <w:r>
        <w:rPr/>
        <w:t xml:space="preserve"> A county imposing the tax authorized under this section on July 28, 2019, must submit an authorizing proposition to the voters as provided under this section to increase the rate of tax.</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t xml:space="preserve">(a) The intergovernmental agreement is requested by the county, city, or regional communications agency for this purpose; and</w:t>
      </w:r>
    </w:p>
    <w:p>
      <w:pPr>
        <w:spacing w:before="0" w:after="0" w:line="408" w:lineRule="exact"/>
        <w:ind w:left="0" w:right="0" w:firstLine="576"/>
        <w:jc w:val="left"/>
      </w:pPr>
      <w:r>
        <w:rPr/>
        <w:t xml:space="preserve">(b) The terms and conditions are mutually agreeable.</w:t>
      </w:r>
    </w:p>
    <w:p/>
    <w:p>
      <w:pPr>
        <w:jc w:val="center"/>
      </w:pPr>
      <w:r>
        <w:rPr>
          <w:b/>
        </w:rPr>
        <w:t>--- END ---</w:t>
      </w:r>
    </w:p>
    <w:sectPr>
      <w:pgNumType w:start="1"/>
      <w:footerReference xmlns:r="http://schemas.openxmlformats.org/officeDocument/2006/relationships" r:id="Rd7d7730c52bd4c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2422c3ffa426f" /><Relationship Type="http://schemas.openxmlformats.org/officeDocument/2006/relationships/footer" Target="/word/footer1.xml" Id="Rd7d7730c52bd4ca8" /></Relationships>
</file>