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f6cc96f7b54f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Harris, Ortiz-Self, and Eslick)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and snowmobile registration enforcement; amending RCW 46.09.420, 46.09.400, 46.09.410, 46.09.442, 46.93.210, 46.09.495, and 46.10.505;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400</w:t>
      </w:r>
      <w:r>
        <w:rPr/>
        <w:t xml:space="preserve"> and 2013 2nd sp.s. c 23 s 12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Issue registrations and temporary ORV use permits for off</w:t>
      </w:r>
      <w:r>
        <w:rPr/>
        <w:noBreakHyphen/>
      </w:r>
      <w:r>
        <w:rPr/>
        <w:t xml:space="preserve">road vehicles, excluding wheeled all-terrain vehicles subject to subsection (4) of this section;</w:t>
      </w:r>
    </w:p>
    <w:p>
      <w:pPr>
        <w:spacing w:before="0" w:after="0" w:line="408" w:lineRule="exact"/>
        <w:ind w:left="0" w:right="0" w:firstLine="576"/>
        <w:jc w:val="left"/>
      </w:pPr>
      <w:r>
        <w:rPr/>
        <w:t xml:space="preserve">(2) Issue decals for off-road vehicles, excluding wheeled all-terrain vehicles subject to subsection (4) of this section. The decals serve the same function as license plates for vehicles registered under chapter 46.16A RCW;</w:t>
      </w:r>
    </w:p>
    <w:p>
      <w:pPr>
        <w:spacing w:before="0" w:after="0" w:line="408" w:lineRule="exact"/>
        <w:ind w:left="0" w:right="0" w:firstLine="576"/>
        <w:jc w:val="left"/>
      </w:pPr>
      <w:r>
        <w:rPr/>
        <w:t xml:space="preserve">(3) </w:t>
      </w:r>
      <w:r>
        <w:t>((</w:t>
      </w:r>
      <w:r>
        <w:rPr>
          <w:strike/>
        </w:rPr>
        <w:t xml:space="preserve">Charge</w:t>
      </w:r>
      <w:r>
        <w:t>))</w:t>
      </w:r>
      <w:r>
        <w:rPr/>
        <w:t xml:space="preserve"> </w:t>
      </w:r>
      <w:r>
        <w:rPr>
          <w:u w:val="single"/>
        </w:rPr>
        <w:t xml:space="preserve">(a) Except as provided in (b) of this
subsection, charge</w:t>
      </w:r>
      <w:r>
        <w:rPr/>
        <w:t xml:space="preserve"> a fee for each decal covering the actual cost of the decal</w:t>
      </w:r>
      <w:r>
        <w:rPr>
          <w:u w:val="single"/>
        </w:rPr>
        <w:t xml:space="preserve">;</w:t>
      </w:r>
    </w:p>
    <w:p>
      <w:pPr>
        <w:spacing w:before="0" w:after="0" w:line="408" w:lineRule="exact"/>
        <w:ind w:left="0" w:right="0" w:firstLine="576"/>
        <w:jc w:val="left"/>
      </w:pPr>
      <w:r>
        <w:rPr>
          <w:u w:val="single"/>
        </w:rPr>
        <w:t xml:space="preserve">(b) Charge no fee for the decal, if the vehicle is also properly registered or permitted in another state to a resident of the state, and, at the time of application for either an original Washington ORV registration or a renewal of a Washington ORV registration, the resident presents the following documents issued by the other state: (i) The resident's unexpired driver's license; and (ii) the current registration or permit for the off-road vehicle</w:t>
      </w:r>
      <w:r>
        <w:rPr/>
        <w:t xml:space="preserve">; and</w:t>
      </w:r>
    </w:p>
    <w:p>
      <w:pPr>
        <w:spacing w:before="0" w:after="0" w:line="408" w:lineRule="exact"/>
        <w:ind w:left="0" w:right="0" w:firstLine="576"/>
        <w:jc w:val="left"/>
      </w:pPr>
      <w:r>
        <w:rPr/>
        <w:t xml:space="preserve">(4) Issue metal tags, off-road vehicle registrations, and on-road vehicle registrations for wheeled all-terrain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2013 2nd sp.s. c 23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application for an original ORV registration has the same requirements as described for original vehicle registrations in RCW 46.16A.040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w:t>
      </w:r>
      <w:r>
        <w:rPr>
          <w:u w:val="single"/>
        </w:rPr>
        <w:t xml:space="preserve">(a)</w:t>
      </w:r>
      <w:r>
        <w:rPr/>
        <w:t xml:space="preserve"> The application for renewal of an ORV registration has the same requirements as described for the renewal of vehicle registrations in RCW 46.16A.110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w:t>
      </w:r>
      <w:r>
        <w:rPr>
          <w:u w:val="single"/>
        </w:rPr>
        <w:t xml:space="preserve">, except as provided in subsection (7) of this section,</w:t>
      </w:r>
      <w:r>
        <w:rPr/>
        <w:t xml:space="preserve">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w:t>
      </w:r>
      <w:r>
        <w:t>((</w:t>
      </w:r>
      <w:r>
        <w:rPr>
          <w:strike/>
        </w:rPr>
        <w:t xml:space="preserve">subsection</w:t>
      </w:r>
      <w:r>
        <w:t>))</w:t>
      </w:r>
      <w:r>
        <w:rPr/>
        <w:t xml:space="preserve"> </w:t>
      </w:r>
      <w:r>
        <w:rPr>
          <w:u w:val="single"/>
        </w:rPr>
        <w:t xml:space="preserve">subsections</w:t>
      </w:r>
      <w:r>
        <w:rPr/>
        <w:t xml:space="preserve"> (6)(b) </w:t>
      </w:r>
      <w:r>
        <w:rPr>
          <w:u w:val="single"/>
        </w:rPr>
        <w:t xml:space="preserve">and (7)</w:t>
      </w:r>
      <w:r>
        <w:rPr/>
        <w:t xml:space="preserve">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(3) Except as provided in </w:t>
      </w:r>
      <w:r>
        <w:t>((</w:t>
      </w:r>
      <w:r>
        <w:rPr>
          <w:strike/>
        </w:rPr>
        <w:t xml:space="preserve">subsection</w:t>
      </w:r>
      <w:r>
        <w:t>))</w:t>
      </w:r>
      <w:r>
        <w:rPr/>
        <w:t xml:space="preserve"> </w:t>
      </w:r>
      <w:r>
        <w:rPr>
          <w:u w:val="single"/>
        </w:rPr>
        <w:t xml:space="preserve">subsections</w:t>
      </w:r>
      <w:r>
        <w:rPr/>
        <w:t xml:space="preserve"> (6)(a) </w:t>
      </w:r>
      <w:r>
        <w:rPr>
          <w:u w:val="single"/>
        </w:rPr>
        <w:t xml:space="preserve">and (7)</w:t>
      </w:r>
      <w:r>
        <w:rPr/>
        <w:t xml:space="preserve">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0" w:after="0" w:line="408" w:lineRule="exact"/>
        <w:ind w:left="0" w:right="0" w:firstLine="576"/>
        <w:jc w:val="left"/>
      </w:pPr>
      <w:r>
        <w:rPr>
          <w:u w:val="single"/>
        </w:rPr>
        <w:t xml:space="preserve">(7)(a) No fee is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u w:val="single"/>
        </w:rPr>
        <w:t xml:space="preserve">(b) The department must issue a metal tag and either the off-road tab, on-road tab, or both, as appropriate, following the ORV registration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w:t>
      </w:r>
      <w:r>
        <w:t>((</w:t>
      </w:r>
      <w:r>
        <w:rPr>
          <w:strike/>
        </w:rPr>
        <w:t xml:space="preserve">certified mail from the United States postal service, with return receipt requested,</w:t>
      </w:r>
      <w:r>
        <w:t>))</w:t>
      </w:r>
      <w:r>
        <w:rPr/>
        <w:t xml:space="preserve"> </w:t>
      </w:r>
      <w:r>
        <w:rPr>
          <w:u w:val="single"/>
        </w:rPr>
        <w:t xml:space="preserve">first-class mail from the United States postal service</w:t>
      </w:r>
      <w:r>
        <w:rPr/>
        <w:t xml:space="preserve">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46da95c20b6a45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1379f2c55431a" /><Relationship Type="http://schemas.openxmlformats.org/officeDocument/2006/relationships/footer" Target="/word/footer1.xml" Id="R46da95c20b6a45c6" /></Relationships>
</file>