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064e5b892742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1335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Valdez, Rude, Berry, Fitzgibbon, Morgan, Santos, Shewmake, Davis, Berg, Gilday, Bergquist, Fey, Bateman, Lekanoff, Lovick, Callan, Riccelli, Rule, Pollet, Senn,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property owner notification of recorded documents with unlawful racial restrictions; amending RCW 64.06.020 and 49.60.227; adding a new section to chapter 49.60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existence of racial, religious, or ethnic-based property restrictions or covenants on a deed or chain of title for real property is like having a monument to racism on that property and is repugnant to the tenets of equality. Furthermore, such restrictions and covenants may cause mental anguish and tarnish a property owner's sense of ownership in the property because the owner feels as though they have participated in a racist act themselves.</w:t>
      </w:r>
    </w:p>
    <w:p>
      <w:pPr>
        <w:spacing w:before="0" w:after="0" w:line="408" w:lineRule="exact"/>
        <w:ind w:left="0" w:right="0" w:firstLine="576"/>
        <w:jc w:val="left"/>
      </w:pPr>
      <w:r>
        <w:rPr/>
        <w:t xml:space="preserve">It is the intent of the legislature that the owner, occupant, or tenant or homeowners' association board of the property which is subject to an unlawful deed restriction or covenant pursuant to RCW 49.60.224 is entitled to have discriminatory covenants and restrictions that are contrary to public policy struck from their chain of title. The legislature has presented two ways this can be accomplished through RCW 49.60.227(1) (a) and (b). If the owner, occupant, or tenant or homeowners' association board of the property elects to pursue a judicial remedy, the legislature intends that the court issue a declaratory judgment ordering the county auditor, or in charter counties the county official charged with the responsibility for recording instruments in the county records, to entirely strike the racist or otherwise discriminatory covenants from the chain of title. Striking the language does not prevent preservation of the original record, outside of the chain of title, for historical or archival purposes.</w:t>
      </w:r>
    </w:p>
    <w:p>
      <w:pPr>
        <w:spacing w:before="0" w:after="0" w:line="408" w:lineRule="exact"/>
        <w:ind w:left="0" w:right="0" w:firstLine="576"/>
        <w:jc w:val="left"/>
      </w:pPr>
      <w:r>
        <w:rPr/>
        <w:t xml:space="preserve">The legislature finds that striking racist, religious, and ethnic restrictions or covenants from the chain of title is no different than having an offensive statutory monument which the owner may entirely remove. So too should the owner be able to entirely remove the offensive written monument to racism or other unconstitutional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and Eastern Washington University shall review existing recorded covenants and deed restrictions to identify those recorded documents that include racial or other restrictions on property ownership or use against protected classes that are unlawful under RCW 49.60.224. For properties subject to such racial and other unlawful restrictions, the universities shall provide notice to the property owner and to the county auditor of the county in which the property is located. The universities shall provide information to the property owner on how such provisions can be struck pursuant to RCW 49.60.227. The universities may contract with other public and private not-for-profit higher education institutions that are regionally accredited to carry out the review and notification requirements of this section.</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u w:val="single"/>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2018 c 65 s 1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(i) A complete copy of any document affected by the order shall be made an exhibit to the order and the order shall identify each document by recording number and date of recordation and set forth verbatim the void provisions to be struck from such document. The order shall include a certified copy of each document, upon which the court has physically redacted the void provisions.</w:t>
      </w:r>
    </w:p>
    <w:p>
      <w:pPr>
        <w:spacing w:before="0" w:after="0" w:line="408" w:lineRule="exact"/>
        <w:ind w:left="0" w:right="0" w:firstLine="576"/>
        <w:jc w:val="left"/>
      </w:pPr>
      <w:r>
        <w:rPr>
          <w:u w:val="single"/>
        </w:rPr>
        <w:t xml:space="preserve">(ii) The person bringing the action may obtain and deliver a certified copy of the order to the office of the county auditor or, in charter counties, the county official charged with the responsibility for recording instruments in the county records, in the county where the property is located.</w:t>
      </w:r>
    </w:p>
    <w:p>
      <w:pPr>
        <w:spacing w:before="0" w:after="0" w:line="408" w:lineRule="exact"/>
        <w:ind w:left="0" w:right="0" w:firstLine="576"/>
        <w:jc w:val="left"/>
      </w:pPr>
      <w:r>
        <w:rPr>
          <w:u w:val="single"/>
        </w:rPr>
        <w:t xml:space="preserve">(iii) The auditor shall record the documents prepared by the court. An image of each document so corrected shall be placed in the public records. Each corrected document shall contain the following information on the first page or a cover page prepared pursuant to RCW 65.04.047: The auditor's file number or book and page of the original document, a notation that the original document was corrected pursuant to this section, the cause number of the court action, and the date the order was entered.</w:t>
      </w:r>
    </w:p>
    <w:p>
      <w:pPr>
        <w:spacing w:before="0" w:after="0" w:line="408" w:lineRule="exact"/>
        <w:ind w:left="0" w:right="0" w:firstLine="576"/>
        <w:jc w:val="left"/>
      </w:pPr>
      <w:r>
        <w:rPr>
          <w:u w:val="single"/>
        </w:rPr>
        <w:t xml:space="preserve">(iv) The auditor or official shall update the index of each original document referenced in the order with the auditor's file number of the corrected document. Further, the index will note that the original record is no longer the primary official public record and is removed from the chain of title pursuant to the court order.</w:t>
      </w:r>
    </w:p>
    <w:p>
      <w:pPr>
        <w:spacing w:before="0" w:after="0" w:line="408" w:lineRule="exact"/>
        <w:ind w:left="0" w:right="0" w:firstLine="576"/>
        <w:jc w:val="left"/>
      </w:pPr>
      <w:r>
        <w:rPr>
          <w:u w:val="single"/>
        </w:rPr>
        <w:t xml:space="preserve">(v) The original document or image and subsequent records of such actions shall be separately maintained in the county's records and, at the auditor's or official's discretion, the original document or image may also be transferred to the secretary of state archives division to be preserved for historical or archival purposes.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NumType w:start="1"/>
      <w:footerReference xmlns:r="http://schemas.openxmlformats.org/officeDocument/2006/relationships" r:id="R9d98f8b44cdf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7188cfaa54589" /><Relationship Type="http://schemas.openxmlformats.org/officeDocument/2006/relationships/footer" Target="/word/footer1.xml" Id="R9d98f8b44cdf41b6" /></Relationships>
</file>