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3745d038546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1379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Lovick, Boehnke, Sutherland, Ryu, and Dent)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and program funding source; amending RCW 47.68.250, 47.68.250, and 47.68.020; adding a new section to chapter 47.68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Within amounts collected from commercial unpiloted aircraft registration fees pursuant to RCW 47.68.250(1), the aviation division director (also known as the senior state aviation official) or the aviation division director's designee shall act as the unpiloted aircraft system coordinator. The unpiloted aircraft system coordinator serves primarily in an advisory role and is not authorized to direct unpiloted aircraft system operations, training, or policy outside the department.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principal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0" w:after="0" w:line="408" w:lineRule="exact"/>
        <w:ind w:left="0" w:right="0" w:firstLine="576"/>
        <w:jc w:val="left"/>
      </w:pPr>
      <w:r>
        <w:rPr/>
        <w:t xml:space="preserve">(3) By December 1, 2022, the department shall provide a report to the transportation committees of the legislature and the department of commerce that provides details on the specific activities, accomplishments, and opportunities undertaken by the unpiloted aircraft system coordinator as to each of the duties provided in this section. The report must also be shared with interested aviation and aerospace industry stakeholders. The report shall include:</w:t>
      </w:r>
    </w:p>
    <w:p>
      <w:pPr>
        <w:spacing w:before="0" w:after="0" w:line="408" w:lineRule="exact"/>
        <w:ind w:left="0" w:right="0" w:firstLine="576"/>
        <w:jc w:val="left"/>
      </w:pPr>
      <w:r>
        <w:rPr/>
        <w:t xml:space="preserve">(a) Information on the specific activities, accomplishments, and opportunities taken by the aviation division director or the director's designee in their role as the unpiloted aircraft system coordinator;</w:t>
      </w:r>
    </w:p>
    <w:p>
      <w:pPr>
        <w:spacing w:before="0" w:after="0" w:line="408" w:lineRule="exact"/>
        <w:ind w:left="0" w:right="0" w:firstLine="576"/>
        <w:jc w:val="left"/>
      </w:pPr>
      <w:r>
        <w:rPr/>
        <w:t xml:space="preserve">(b) A statement on the justification and need for the aviation division director or the director's designee to continue to perform the specific activities of the unpiloted aircraft system coordinator; and</w:t>
      </w:r>
    </w:p>
    <w:p>
      <w:pPr>
        <w:spacing w:before="0" w:after="0" w:line="408" w:lineRule="exact"/>
        <w:ind w:left="0" w:right="0" w:firstLine="576"/>
        <w:jc w:val="left"/>
      </w:pPr>
      <w:r>
        <w:rPr/>
        <w:t xml:space="preserve">(c) Recommendations on any changes to the scope of the work and duties of the unpiloted aircraft system coordinator. This shall include recommendations on the reassignment of duties of the unpiloted aircraft system coordinator to the department's aviation division and recommendations on the termination of the unpiloted aircraft system coordinator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e29c728c15e0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b021070e74735" /><Relationship Type="http://schemas.openxmlformats.org/officeDocument/2006/relationships/footer" Target="/word/footer1.xml" Id="Re29c728c15e04dc0" /></Relationships>
</file>