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c6d81b2c54a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Vick, Kirby, Jacobsen, Simmons, Dufault, Dolan, and Young</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criminal convictions;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shall not charge a fee to a person for any preliminary application filed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8fa2f011f2743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d89d979084517" /><Relationship Type="http://schemas.openxmlformats.org/officeDocument/2006/relationships/footer" Target="/word/footer1.xml" Id="Rf8fa2f011f27431b" /></Relationships>
</file>