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b714afa1254e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 Fey)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 utility from being assessed a penalty for not meeting its biennial acquisition target for cost-effective conservation in special circumstances outside the utility's control; and amending RCW 19.285.040 and 19.285.060.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w:t>
      </w:r>
      <w:r>
        <w:rPr>
          <w:u w:val="single"/>
        </w:rPr>
        <w:t xml:space="preserve">A qualifying utility is considered in compliance with its biennial acquisition target for cost-effective conservation in (b) of this subsection if events beyond the reasonable control of the utility that could not have been reasonably anticipated or ameliorated prevented it from meeting the conservation target. Events that a qualifying utility may demonstrate were beyond its reasonable control, that could not have reasonably been anticipated or ameliorated, and that prevented it from meeting the conservation target include: (i) Natural disasters resulting in the issuance of extended emergency declarations; (ii) the cancellation of significant conservation projects; and (iii) actions of a governmental authority that adversely affects the acquisition of cost-effective conservation by the qualifying utility.</w:t>
      </w:r>
    </w:p>
    <w:p>
      <w:pPr>
        <w:spacing w:before="0" w:after="0" w:line="408" w:lineRule="exact"/>
        <w:ind w:left="0" w:right="0" w:firstLine="576"/>
        <w:jc w:val="left"/>
      </w:pPr>
      <w:r>
        <w:rPr>
          <w:u w:val="single"/>
        </w:rPr>
        <w:t xml:space="preserve">(f)</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2015 c 225 s 22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w:t>
      </w:r>
      <w:r>
        <w:rPr>
          <w:u w:val="single"/>
        </w:rPr>
        <w:t xml:space="preserve">or biennial acquisition target for cost-effective conservation in RCW 19.285.040(1)</w:t>
      </w:r>
      <w:r>
        <w:rPr/>
        <w:t xml:space="preserve"> is exempt from the administrative penalty in subsection (1) of this section for that year if the commission for investor-owned utilities or the auditor for all other qualifying utilities determines that the utility complied with RCW 19.285.040 </w:t>
      </w:r>
      <w:r>
        <w:rPr>
          <w:u w:val="single"/>
        </w:rPr>
        <w:t xml:space="preserve">(1)(e) or</w:t>
      </w:r>
      <w:r>
        <w:rPr/>
        <w:t xml:space="preserve"> (2) (d) or (i) or 19.285.050(1).</w:t>
      </w:r>
    </w:p>
    <w:p>
      <w:pPr>
        <w:spacing w:before="0" w:after="0" w:line="408" w:lineRule="exact"/>
        <w:ind w:left="0" w:right="0" w:firstLine="576"/>
        <w:jc w:val="left"/>
      </w:pPr>
      <w:r>
        <w:rPr/>
        <w:t xml:space="preserve">(3) A qualifying utility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enterprise services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(6) For a qualifying utility that is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
      <w:pPr>
        <w:jc w:val="center"/>
      </w:pPr>
      <w:r>
        <w:rPr>
          <w:b/>
        </w:rPr>
        <w:t>--- END ---</w:t>
      </w:r>
    </w:p>
    <w:sectPr>
      <w:pgNumType w:start="1"/>
      <w:footerReference xmlns:r="http://schemas.openxmlformats.org/officeDocument/2006/relationships" r:id="R2bcf9219889041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7a58927d9d436a" /><Relationship Type="http://schemas.openxmlformats.org/officeDocument/2006/relationships/footer" Target="/word/footer1.xml" Id="R2bcf9219889041f0" /></Relationships>
</file>