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a4f9d5d174f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1619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56</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Hackney, Ryu, Berry, Wicks, Duerr, Ramel, Valdez, Fey, Goodman, Gregerson, Macri, Simmons, Kloba, Pollet, Riccelli, Ormsby,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19.260.030, 19.260.040, and 19.260.050; reenacting and amending RCW 19.260.020 and 19.260.020;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w:t>
      </w:r>
      <w:r>
        <w:rPr>
          <w:u w:val="single"/>
        </w:rPr>
        <w:t xml:space="preserve">(a)</w:t>
      </w:r>
      <w:r>
        <w:rPr/>
        <w:t xml:space="preserve"> "Residential ventilating fan" means a </w:t>
      </w:r>
      <w:r>
        <w:t>((</w:t>
      </w:r>
      <w:r>
        <w:rPr>
          <w:strike/>
        </w:rPr>
        <w:t xml:space="preserve">ceiling, wall-mounted, or remotely mounted in-line</w:t>
      </w:r>
      <w:r>
        <w:t>))</w:t>
      </w:r>
      <w:r>
        <w:rPr/>
        <w:t xml:space="preserve"> fan </w:t>
      </w:r>
      <w:r>
        <w:t>((</w:t>
      </w:r>
      <w:r>
        <w:rPr>
          <w:strike/>
        </w:rPr>
        <w:t xml:space="preserve">designed to be used in a bathroom or utility room</w:t>
      </w:r>
      <w:r>
        <w:t>))</w:t>
      </w:r>
      <w:r>
        <w:rPr/>
        <w:t xml:space="preserve"> whose purpose is to </w:t>
      </w:r>
      <w:r>
        <w:t>((</w:t>
      </w:r>
      <w:r>
        <w:rPr>
          <w:strike/>
        </w:rPr>
        <w:t xml:space="preserve">move objectionable air from inside the building to the outdoors</w:t>
      </w:r>
      <w:r>
        <w:t>))</w:t>
      </w:r>
      <w:r>
        <w:rPr/>
        <w:t xml:space="preserve"> </w:t>
      </w:r>
      <w:r>
        <w:rPr>
          <w:u w:val="single"/>
        </w:rPr>
        <w:t xml:space="preserve">actively supply air to or remove air from the inside of a residence. A "residential ventilating fan" may also be designed to filter incoming air. "Residential ventilating fan" includes, but is not limited to: Ceiling and wall-mounted fans, or remotely mounted in-line fans, designed to be used in a bathroom or utility room; and supply fans designed to provide air to the indoor space.</w:t>
      </w:r>
    </w:p>
    <w:p>
      <w:pPr>
        <w:spacing w:before="0" w:after="0" w:line="408" w:lineRule="exact"/>
        <w:ind w:left="0" w:right="0" w:firstLine="576"/>
        <w:jc w:val="left"/>
      </w:pPr>
      <w:r>
        <w:rPr>
          <w:u w:val="single"/>
        </w:rPr>
        <w:t xml:space="preserve">(b) "Residential ventilating fan" does not include kitchen range hoods</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2019 c 286 s 3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(f) Air compressors;</w:t>
      </w:r>
    </w:p>
    <w:p>
      <w:pPr>
        <w:spacing w:before="0" w:after="0" w:line="408" w:lineRule="exact"/>
        <w:ind w:left="0" w:right="0" w:firstLine="576"/>
        <w:jc w:val="left"/>
      </w:pPr>
      <w:r>
        <w:rPr/>
        <w:t xml:space="preserve">(g) Commercial fryers, commercial dishwashers, and commercial steam cookers;</w:t>
      </w:r>
    </w:p>
    <w:p>
      <w:pPr>
        <w:spacing w:before="0" w:after="0" w:line="408" w:lineRule="exact"/>
        <w:ind w:left="0" w:right="0" w:firstLine="576"/>
        <w:jc w:val="left"/>
      </w:pPr>
      <w:r>
        <w:rPr/>
        <w:t xml:space="preserve">(h) Computers and computer monitors;</w:t>
      </w:r>
    </w:p>
    <w:p>
      <w:pPr>
        <w:spacing w:before="0" w:after="0" w:line="408" w:lineRule="exact"/>
        <w:ind w:left="0" w:right="0" w:firstLine="576"/>
        <w:jc w:val="left"/>
      </w:pPr>
      <w:r>
        <w:rPr/>
        <w:t xml:space="preserve">(i) Faucets;</w:t>
      </w:r>
    </w:p>
    <w:p>
      <w:pPr>
        <w:spacing w:before="0" w:after="0" w:line="408" w:lineRule="exact"/>
        <w:ind w:left="0" w:right="0" w:firstLine="576"/>
        <w:jc w:val="left"/>
      </w:pPr>
      <w:r>
        <w:rPr/>
        <w:t xml:space="preserve">(j) High CRI fluorescent lamps;</w:t>
      </w:r>
    </w:p>
    <w:p>
      <w:pPr>
        <w:spacing w:before="0" w:after="0" w:line="408" w:lineRule="exact"/>
        <w:ind w:left="0" w:right="0" w:firstLine="576"/>
        <w:jc w:val="left"/>
      </w:pPr>
      <w:r>
        <w:rPr/>
        <w:t xml:space="preserve">(k) Portable air conditioners;</w:t>
      </w:r>
    </w:p>
    <w:p>
      <w:pPr>
        <w:spacing w:before="0" w:after="0" w:line="408" w:lineRule="exact"/>
        <w:ind w:left="0" w:right="0" w:firstLine="576"/>
        <w:jc w:val="left"/>
      </w:pPr>
      <w:r>
        <w:rPr/>
        <w:t xml:space="preserve">(l) Residential ventilating fans;</w:t>
      </w:r>
    </w:p>
    <w:p>
      <w:pPr>
        <w:spacing w:before="0" w:after="0" w:line="408" w:lineRule="exact"/>
        <w:ind w:left="0" w:right="0" w:firstLine="576"/>
        <w:jc w:val="left"/>
      </w:pPr>
      <w:r>
        <w:rPr/>
        <w:t xml:space="preserve">(m) Showerheads;</w:t>
      </w:r>
    </w:p>
    <w:p>
      <w:pPr>
        <w:spacing w:before="0" w:after="0" w:line="408" w:lineRule="exact"/>
        <w:ind w:left="0" w:right="0" w:firstLine="576"/>
        <w:jc w:val="left"/>
      </w:pPr>
      <w:r>
        <w:rPr/>
        <w:t xml:space="preserve">(n) Spray sprinkler bodies;</w:t>
      </w:r>
    </w:p>
    <w:p>
      <w:pPr>
        <w:spacing w:before="0" w:after="0" w:line="408" w:lineRule="exact"/>
        <w:ind w:left="0" w:right="0" w:firstLine="576"/>
        <w:jc w:val="left"/>
      </w:pPr>
      <w:r>
        <w:rPr/>
        <w:t xml:space="preserve">(o) </w:t>
      </w:r>
      <w:r>
        <w:t>((</w:t>
      </w:r>
      <w:r>
        <w:rPr>
          <w:strike/>
        </w:rPr>
        <w:t xml:space="preserve">Uninterruptible power supplies;</w:t>
      </w:r>
    </w:p>
    <w:p>
      <w:pPr>
        <w:spacing w:before="0" w:after="0" w:line="408" w:lineRule="exact"/>
        <w:ind w:left="0" w:right="0" w:firstLine="576"/>
        <w:jc w:val="left"/>
      </w:pPr>
      <w:r>
        <w:rPr>
          <w:strike/>
        </w:rPr>
        <w:t xml:space="preserve">(p)</w:t>
      </w:r>
      <w:r>
        <w:t>))</w:t>
      </w:r>
      <w:r>
        <w:rPr/>
        <w:t xml:space="preserve"> Urinals and water closets;</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Water coolers;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General service lamps; </w:t>
      </w:r>
      <w:r>
        <w:t>((</w:t>
      </w:r>
      <w:r>
        <w:rPr>
          <w:strike/>
        </w:rPr>
        <w:t xml:space="preserve">and</w:t>
      </w:r>
    </w:p>
    <w:p>
      <w:pPr>
        <w:spacing w:before="0" w:after="0" w:line="408" w:lineRule="exact"/>
        <w:ind w:left="0" w:right="0" w:firstLine="576"/>
        <w:jc w:val="left"/>
      </w:pPr>
      <w:r>
        <w:rPr>
          <w:strike/>
        </w:rPr>
        <w:t xml:space="preserve">(s)</w:t>
      </w:r>
      <w:r>
        <w:t>))</w:t>
      </w:r>
      <w:r>
        <w:rPr/>
        <w:t xml:space="preserve"> </w:t>
      </w:r>
      <w:r>
        <w:rPr>
          <w:u w:val="single"/>
        </w:rPr>
        <w:t xml:space="preserve">(r)</w:t>
      </w:r>
      <w:r>
        <w:rPr/>
        <w:t xml:space="preserve"> Electric storage water heaters</w:t>
      </w:r>
      <w:r>
        <w:rPr>
          <w:u w:val="single"/>
        </w:rPr>
        <w:t xml:space="preserve">;</w:t>
      </w:r>
    </w:p>
    <w:p>
      <w:pPr>
        <w:spacing w:before="0" w:after="0" w:line="408" w:lineRule="exact"/>
        <w:ind w:left="0" w:right="0" w:firstLine="576"/>
        <w:jc w:val="left"/>
      </w:pPr>
      <w:r>
        <w:rPr>
          <w:u w:val="single"/>
        </w:rPr>
        <w:t xml:space="preserve">(s) Air purifiers other than industrial air purifiers;</w:t>
      </w:r>
    </w:p>
    <w:p>
      <w:pPr>
        <w:spacing w:before="0" w:after="0" w:line="408" w:lineRule="exact"/>
        <w:ind w:left="0" w:right="0" w:firstLine="576"/>
        <w:jc w:val="left"/>
      </w:pPr>
      <w:r>
        <w:rPr>
          <w:u w:val="single"/>
        </w:rPr>
        <w:t xml:space="preserve">(t) Commercial ovens; and</w:t>
      </w:r>
    </w:p>
    <w:p>
      <w:pPr>
        <w:spacing w:before="0" w:after="0" w:line="408" w:lineRule="exact"/>
        <w:ind w:left="0" w:right="0" w:firstLine="576"/>
        <w:jc w:val="left"/>
      </w:pPr>
      <w:r>
        <w:rPr>
          <w:u w:val="single"/>
        </w:rPr>
        <w:t xml:space="preserve">(u) Electric vehicle supply equipment</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2019 c 286 s 4 are each amended to read as follows:</w:t>
      </w:r>
    </w:p>
    <w:p>
      <w:pPr>
        <w:spacing w:before="0" w:after="0" w:line="408" w:lineRule="exact"/>
        <w:ind w:left="0" w:right="0" w:firstLine="576"/>
        <w:jc w:val="left"/>
      </w:pPr>
      <w:r>
        <w:rPr/>
        <w:t xml:space="preserve">Except as provided in subsection (1) of this section, the minimum efficiency standards specified in this section apply to the types of new products set forth in RCW 19.260.030 as of the effective dates set forth in RCW 19.260.050.</w:t>
      </w:r>
    </w:p>
    <w:p>
      <w:pPr>
        <w:spacing w:before="0" w:after="0" w:line="408" w:lineRule="exact"/>
        <w:ind w:left="0" w:right="0" w:firstLine="576"/>
        <w:jc w:val="left"/>
      </w:pPr>
      <w:r>
        <w:rPr/>
        <w:t xml:space="preserve">(1) 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t xml:space="preserve">(2)(a)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(3)(a)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(4) The following standards are established for </w:t>
      </w:r>
      <w:r>
        <w:t>((</w:t>
      </w:r>
      <w:r>
        <w:rPr>
          <w:strike/>
        </w:rPr>
        <w:t xml:space="preserve">residential pool pumps and</w:t>
      </w:r>
      <w:r>
        <w:t>))</w:t>
      </w:r>
      <w:r>
        <w:rPr/>
        <w:t xml:space="preserve"> portable electric spas:</w:t>
      </w:r>
    </w:p>
    <w:p>
      <w:pPr>
        <w:spacing w:before="0" w:after="0" w:line="408" w:lineRule="exact"/>
        <w:ind w:left="0" w:right="0" w:firstLine="576"/>
        <w:jc w:val="left"/>
      </w:pPr>
      <w:r>
        <w:rPr/>
        <w:t xml:space="preserve">(a) </w:t>
      </w:r>
      <w:r>
        <w:t>((</w:t>
      </w:r>
      <w:r>
        <w:rPr>
          <w:strike/>
        </w:rPr>
        <w:t xml:space="preserve">Residential pool pumps manufactured on or after January 1, 2010, and until July 18, 2021, must meet requirements specified in the California Code of Regulations, Title 20, section 1605.3 in effect as of July 26, 2009. 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rPr>
          <w:strike/>
        </w:rPr>
        <w:t xml:space="preserve">(b) Through December 31, 2019, portable electric spas manufactured on or after January 1, 2010, must meet requirements specified in the California Code of Regulations, Title 20, section 1605.3 in effect as of July 26, 2009.</w:t>
      </w:r>
      <w:r>
        <w:t>))</w:t>
      </w:r>
      <w:r>
        <w:rPr/>
        <w:t xml:space="preserve"> Beginning January 1, 2020, portable electric spas must meet the requirements of the American national standard for portable electric spa energy efficiency (ANSI/APSP/ICC-14 2014). </w:t>
      </w:r>
      <w:r>
        <w:rPr>
          <w:u w:val="single"/>
        </w:rPr>
        <w:t xml:space="preserve">Beginning January 1, 2024, portable electric spas must meet the requirements specified in the California code of regulations, title 20, section 1605.3 in effect as of January 1, 2022.</w:t>
      </w:r>
    </w:p>
    <w:p>
      <w:pPr>
        <w:spacing w:before="0" w:after="0" w:line="408" w:lineRule="exact"/>
        <w:ind w:left="0" w:right="0" w:firstLine="576"/>
        <w:jc w:val="left"/>
      </w:pPr>
      <w:r>
        <w:t>((</w:t>
      </w:r>
      <w:r>
        <w:rPr>
          <w:strike/>
        </w:rPr>
        <w:t xml:space="preserve">(c) Through December 31, 2019, portable electric spas must be tested in accordance with the method specified in the California Code of Regulations, Title 20, section 1604 in effect as of July 26, 2009.</w:t>
      </w:r>
      <w:r>
        <w:t>))</w:t>
      </w:r>
      <w:r>
        <w:rPr/>
        <w:t xml:space="preserve"> </w:t>
      </w:r>
      <w:r>
        <w:rPr>
          <w:u w:val="single"/>
        </w:rPr>
        <w:t xml:space="preserve">(b)</w:t>
      </w:r>
      <w:r>
        <w:rPr/>
        <w:t xml:space="preserve"> Beginning January 1, 2020, portable electric spas must be tested in accordance with the method specified in the American national standard for portable electric spa energy efficiency (ANSI/APSP/ICC-14 2014). </w:t>
      </w:r>
      <w:r>
        <w:rPr>
          <w:u w:val="single"/>
        </w:rPr>
        <w:t xml:space="preserve">Beginning January 1, 2024, portable electric spas must be tested in accordance with the method specified in the California code of regulations, title 20, section 1605.3 in effect as of January 1, 2022.</w:t>
      </w:r>
    </w:p>
    <w:p>
      <w:pPr>
        <w:spacing w:before="0" w:after="0" w:line="408" w:lineRule="exact"/>
        <w:ind w:left="0" w:right="0" w:firstLine="576"/>
        <w:jc w:val="left"/>
      </w:pPr>
      <w:r>
        <w:rPr/>
        <w:t xml:space="preserve">(5)</w:t>
      </w:r>
      <w:r>
        <w:t>((</w:t>
      </w:r>
      <w:r>
        <w:rPr>
          <w:strike/>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strike/>
        </w:rPr>
        <w:t xml:space="preserve">(b) The idle energy rate of commercial hot food holding cabinets shall be determined using ANSI/ASTM F2140-11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r>
        <w:t>))</w:t>
      </w:r>
      <w:r>
        <w:rPr/>
        <w:t xml:space="preserve"> </w:t>
      </w:r>
      <w:r>
        <w:rPr>
          <w:u w:val="single"/>
        </w:rPr>
        <w:t xml:space="preserve">Commercial hot food holding cabinets must meet the qualification criteria of the energy star program requirements product specification for commercial hot food holding cabinets, version 2.0.</w:t>
      </w:r>
    </w:p>
    <w:p>
      <w:pPr>
        <w:spacing w:before="0" w:after="0" w:line="408" w:lineRule="exact"/>
        <w:ind w:left="0" w:right="0" w:firstLine="576"/>
        <w:jc w:val="left"/>
      </w:pPr>
      <w:r>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t xml:space="preserve">where "SACC" is seasonally adjusted cooling capacity in Btu/h.</w:t>
      </w:r>
    </w:p>
    <w:p>
      <w:pPr>
        <w:spacing w:before="0" w:after="0" w:line="408" w:lineRule="exact"/>
        <w:ind w:left="0" w:right="0" w:firstLine="576"/>
        <w:jc w:val="left"/>
      </w:pPr>
      <w:r>
        <w:rPr/>
        <w:t xml:space="preserve">(13)</w:t>
      </w:r>
      <w:r>
        <w:rPr>
          <w:u w:val="single"/>
        </w:rPr>
        <w:t xml:space="preserve">(a)</w:t>
      </w:r>
      <w:r>
        <w:rPr/>
        <w:t xml:space="preserve"> Residential ventilating fans must meet the qualification criteria of the environmental protection agency energy star program product specification for residential ventilating fans, version 3.2</w:t>
      </w:r>
      <w:r>
        <w:rPr>
          <w:u w:val="single"/>
        </w:rPr>
        <w:t xml:space="preserve">, consistent with the timeline specified in RCW 19.260.050(3).</w:t>
      </w:r>
    </w:p>
    <w:p>
      <w:pPr>
        <w:spacing w:before="0" w:after="0" w:line="408" w:lineRule="exact"/>
        <w:ind w:left="0" w:right="0" w:firstLine="576"/>
        <w:jc w:val="left"/>
      </w:pPr>
      <w:r>
        <w:rPr>
          <w:u w:val="single"/>
        </w:rPr>
        <w:t xml:space="preserve">(b) Residential ventilating fans must meet the qualification criteria of the environmental protection agency energy star program product specification for residential ventilating fans, version 4.1, consistent with the timeline specified in RCW 19.260.050(3)</w:t>
      </w:r>
      <w:r>
        <w:rPr/>
        <w:t xml:space="preserve">.</w:t>
      </w:r>
    </w:p>
    <w:p>
      <w:pPr>
        <w:spacing w:before="0" w:after="0" w:line="408" w:lineRule="exact"/>
        <w:ind w:left="0" w:right="0" w:firstLine="576"/>
        <w:jc w:val="left"/>
      </w:pPr>
      <w:r>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t xml:space="preserve">(a) Showerheads;</w:t>
      </w:r>
    </w:p>
    <w:p>
      <w:pPr>
        <w:spacing w:before="0" w:after="0" w:line="408" w:lineRule="exact"/>
        <w:ind w:left="0" w:right="0" w:firstLine="576"/>
        <w:jc w:val="left"/>
      </w:pPr>
      <w:r>
        <w:rPr/>
        <w:t xml:space="preserve">(b) Tub spout diverters;</w:t>
      </w:r>
    </w:p>
    <w:p>
      <w:pPr>
        <w:spacing w:before="0" w:after="0" w:line="408" w:lineRule="exact"/>
        <w:ind w:left="0" w:right="0" w:firstLine="576"/>
        <w:jc w:val="left"/>
      </w:pPr>
      <w:r>
        <w:rPr/>
        <w:t xml:space="preserve">(c) Showerhead tub spout diverter combinations;</w:t>
      </w:r>
    </w:p>
    <w:p>
      <w:pPr>
        <w:spacing w:before="0" w:after="0" w:line="408" w:lineRule="exact"/>
        <w:ind w:left="0" w:right="0" w:firstLine="576"/>
        <w:jc w:val="left"/>
      </w:pPr>
      <w:r>
        <w:rPr/>
        <w:t xml:space="preserve">(d) Lavatory faucets and replacement aerators;</w:t>
      </w:r>
    </w:p>
    <w:p>
      <w:pPr>
        <w:spacing w:before="0" w:after="0" w:line="408" w:lineRule="exact"/>
        <w:ind w:left="0" w:right="0" w:firstLine="576"/>
        <w:jc w:val="left"/>
      </w:pPr>
      <w:r>
        <w:rPr/>
        <w:t xml:space="preserve">(e) Kitchen faucets and replacement aerators;</w:t>
      </w:r>
    </w:p>
    <w:p>
      <w:pPr>
        <w:spacing w:before="0" w:after="0" w:line="408" w:lineRule="exact"/>
        <w:ind w:left="0" w:right="0" w:firstLine="576"/>
        <w:jc w:val="left"/>
      </w:pPr>
      <w:r>
        <w:rPr/>
        <w:t xml:space="preserve">(f) Public lavatory faucets and replacement aerators;</w:t>
      </w:r>
    </w:p>
    <w:p>
      <w:pPr>
        <w:spacing w:before="0" w:after="0" w:line="408" w:lineRule="exact"/>
        <w:ind w:left="0" w:right="0" w:firstLine="576"/>
        <w:jc w:val="left"/>
      </w:pPr>
      <w:r>
        <w:rPr/>
        <w:t xml:space="preserve">(g) Urinals; and</w:t>
      </w:r>
    </w:p>
    <w:p>
      <w:pPr>
        <w:spacing w:before="0" w:after="0" w:line="408" w:lineRule="exact"/>
        <w:ind w:left="0" w:right="0" w:firstLine="576"/>
        <w:jc w:val="left"/>
      </w:pPr>
      <w:r>
        <w:rPr/>
        <w:t xml:space="preserve">(h) Water closets.</w:t>
      </w:r>
    </w:p>
    <w:p>
      <w:pPr>
        <w:spacing w:before="0" w:after="0" w:line="408" w:lineRule="exact"/>
        <w:ind w:left="0" w:right="0" w:firstLine="576"/>
        <w:jc w:val="left"/>
      </w:pPr>
      <w:r>
        <w:rPr/>
        <w:t xml:space="preserve">(16) </w:t>
      </w:r>
      <w:r>
        <w:t>((</w:t>
      </w:r>
      <w:r>
        <w:rPr>
          <w:strike/>
        </w:rPr>
        <w:t xml:space="preserve">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strike/>
        </w:rPr>
        <w:t xml:space="preserve">(17)</w:t>
      </w:r>
      <w:r>
        <w:t>))</w:t>
      </w:r>
      <w:r>
        <w:rPr/>
        <w:t xml:space="preserve">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t xml:space="preserve">(a) 0.16 kilowatt-hours per day for cold-only units and cook and cold units;</w:t>
      </w:r>
    </w:p>
    <w:p>
      <w:pPr>
        <w:spacing w:before="0" w:after="0" w:line="408" w:lineRule="exact"/>
        <w:ind w:left="0" w:right="0" w:firstLine="576"/>
        <w:jc w:val="left"/>
      </w:pPr>
      <w:r>
        <w:rPr/>
        <w:t xml:space="preserve">(b) 0.87 kilowatt-hours per day for storage type hot and cold units; and</w:t>
      </w:r>
    </w:p>
    <w:p>
      <w:pPr>
        <w:spacing w:before="0" w:after="0" w:line="408" w:lineRule="exact"/>
        <w:ind w:left="0" w:right="0" w:firstLine="576"/>
        <w:jc w:val="left"/>
      </w:pPr>
      <w:r>
        <w:rPr/>
        <w:t xml:space="preserve">(c) 0.18 kilowatt-hours per day for on demand hot and cold units.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(18) Air purifiers other than industrial air purifiers must meet the qualification criteria of the environmental protection agency energy star program product specification for room air cleaners, version 2.0.</w:t>
      </w:r>
    </w:p>
    <w:p>
      <w:pPr>
        <w:spacing w:before="0" w:after="0" w:line="408" w:lineRule="exact"/>
        <w:ind w:left="0" w:right="0" w:firstLine="576"/>
        <w:jc w:val="left"/>
      </w:pPr>
      <w:r>
        <w:rPr>
          <w:u w:val="single"/>
        </w:rPr>
        <w:t xml:space="preserve">(19) Commercial ovens included in the scope of the energy star program requirements product specification for commercial ovens, version 2.2, must meet the qualification criteria of that specification.</w:t>
      </w:r>
    </w:p>
    <w:p>
      <w:pPr>
        <w:spacing w:before="0" w:after="0" w:line="408" w:lineRule="exact"/>
        <w:ind w:left="0" w:right="0" w:firstLine="576"/>
        <w:jc w:val="left"/>
      </w:pPr>
      <w:r>
        <w:rPr>
          <w:u w:val="single"/>
        </w:rPr>
        <w:t xml:space="preserve">(20) Electric vehicle supply equipment included in the scope of the energy star program requirements product specification for electric vehicle supply equipment, version 1.0, other than charging cords with NEMA 5-15P or NEMA 5-20P attachment plugs, must meet the qualification criteria of that specification.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2019 c 286 s 6 are each amended to read as follows:</w:t>
      </w:r>
    </w:p>
    <w:p>
      <w:pPr>
        <w:spacing w:before="0" w:after="0" w:line="408" w:lineRule="exact"/>
        <w:ind w:left="0" w:right="0" w:firstLine="576"/>
        <w:jc w:val="left"/>
      </w:pPr>
      <w:r>
        <w:rPr/>
        <w:t xml:space="preserve">(1)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(2)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t xml:space="preserve">(a) Commercial dishwashers;</w:t>
      </w:r>
    </w:p>
    <w:p>
      <w:pPr>
        <w:spacing w:before="0" w:after="0" w:line="408" w:lineRule="exact"/>
        <w:ind w:left="0" w:right="0" w:firstLine="576"/>
        <w:jc w:val="left"/>
      </w:pPr>
      <w:r>
        <w:rPr/>
        <w:t xml:space="preserve">(b) Commercial fryers;</w:t>
      </w:r>
    </w:p>
    <w:p>
      <w:pPr>
        <w:spacing w:before="0" w:after="0" w:line="408" w:lineRule="exact"/>
        <w:ind w:left="0" w:right="0" w:firstLine="576"/>
        <w:jc w:val="left"/>
      </w:pPr>
      <w:r>
        <w:rPr/>
        <w:t xml:space="preserve">(c) Commercial steam cookers;</w:t>
      </w:r>
    </w:p>
    <w:p>
      <w:pPr>
        <w:spacing w:before="0" w:after="0" w:line="408" w:lineRule="exact"/>
        <w:ind w:left="0" w:right="0" w:firstLine="576"/>
        <w:jc w:val="left"/>
      </w:pPr>
      <w:r>
        <w:rPr/>
        <w:t xml:space="preserve">(d) Computers or computer monitors;</w:t>
      </w:r>
    </w:p>
    <w:p>
      <w:pPr>
        <w:spacing w:before="0" w:after="0" w:line="408" w:lineRule="exact"/>
        <w:ind w:left="0" w:right="0" w:firstLine="576"/>
        <w:jc w:val="left"/>
      </w:pPr>
      <w:r>
        <w:rPr/>
        <w:t xml:space="preserve">(e) Faucets;</w:t>
      </w:r>
    </w:p>
    <w:p>
      <w:pPr>
        <w:spacing w:before="0" w:after="0" w:line="408" w:lineRule="exact"/>
        <w:ind w:left="0" w:right="0" w:firstLine="576"/>
        <w:jc w:val="left"/>
      </w:pPr>
      <w:r>
        <w:rPr/>
        <w:t xml:space="preserve">(f) Residential ventilating fans </w:t>
      </w:r>
      <w:r>
        <w:rPr>
          <w:u w:val="single"/>
        </w:rPr>
        <w:t xml:space="preserve">that meet the standard specified in RCW 19.260.040(13)(a)</w:t>
      </w:r>
      <w:r>
        <w:rPr/>
        <w:t xml:space="preserve">;</w:t>
      </w:r>
    </w:p>
    <w:p>
      <w:pPr>
        <w:spacing w:before="0" w:after="0" w:line="408" w:lineRule="exact"/>
        <w:ind w:left="0" w:right="0" w:firstLine="576"/>
        <w:jc w:val="left"/>
      </w:pPr>
      <w:r>
        <w:rPr/>
        <w:t xml:space="preserve">(g) Spray sprinkler bodies;</w:t>
      </w:r>
    </w:p>
    <w:p>
      <w:pPr>
        <w:spacing w:before="0" w:after="0" w:line="408" w:lineRule="exact"/>
        <w:ind w:left="0" w:right="0" w:firstLine="576"/>
        <w:jc w:val="left"/>
      </w:pPr>
      <w:r>
        <w:rPr/>
        <w:t xml:space="preserve">(h) Showerheads;</w:t>
      </w:r>
    </w:p>
    <w:p>
      <w:pPr>
        <w:spacing w:before="0" w:after="0" w:line="408" w:lineRule="exact"/>
        <w:ind w:left="0" w:right="0" w:firstLine="576"/>
        <w:jc w:val="left"/>
      </w:pPr>
      <w:r>
        <w:rPr/>
        <w:t xml:space="preserve">(i) </w:t>
      </w:r>
      <w:r>
        <w:t>((</w:t>
      </w:r>
      <w:r>
        <w:rPr>
          <w:strike/>
        </w:rPr>
        <w:t xml:space="preserve">Uninterruptible power supplies;</w:t>
      </w:r>
    </w:p>
    <w:p>
      <w:pPr>
        <w:spacing w:before="0" w:after="0" w:line="408" w:lineRule="exact"/>
        <w:ind w:left="0" w:right="0" w:firstLine="576"/>
        <w:jc w:val="left"/>
      </w:pPr>
      <w:r>
        <w:rPr>
          <w:strike/>
        </w:rPr>
        <w:t xml:space="preserve">(j)</w:t>
      </w:r>
      <w:r>
        <w:t>))</w:t>
      </w:r>
      <w:r>
        <w:rPr/>
        <w:t xml:space="preserve"> Urinals and water closets;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Water coolers.</w:t>
      </w:r>
    </w:p>
    <w:p>
      <w:pPr>
        <w:spacing w:before="0" w:after="0" w:line="408" w:lineRule="exact"/>
        <w:ind w:left="0" w:right="0" w:firstLine="576"/>
        <w:jc w:val="left"/>
      </w:pPr>
      <w:r>
        <w:rPr/>
        <w:t xml:space="preserve">(4) </w:t>
      </w:r>
      <w:r>
        <w:rPr>
          <w:u w:val="single"/>
        </w:rPr>
        <w:t xml:space="preserve">The following products, if manufactured on or after January 1, 2024,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 other than industrial air purifiers;</w:t>
      </w:r>
    </w:p>
    <w:p>
      <w:pPr>
        <w:spacing w:before="0" w:after="0" w:line="408" w:lineRule="exact"/>
        <w:ind w:left="0" w:right="0" w:firstLine="576"/>
        <w:jc w:val="left"/>
      </w:pPr>
      <w:r>
        <w:rPr>
          <w:u w:val="single"/>
        </w:rPr>
        <w:t xml:space="preserve">(b) Commercial ovens;</w:t>
      </w:r>
    </w:p>
    <w:p>
      <w:pPr>
        <w:spacing w:before="0" w:after="0" w:line="408" w:lineRule="exact"/>
        <w:ind w:left="0" w:right="0" w:firstLine="576"/>
        <w:jc w:val="left"/>
      </w:pPr>
      <w:r>
        <w:rPr>
          <w:u w:val="single"/>
        </w:rPr>
        <w:t xml:space="preserve">(c) Electric vehicle supply equipment; and</w:t>
      </w:r>
    </w:p>
    <w:p>
      <w:pPr>
        <w:spacing w:before="0" w:after="0" w:line="408" w:lineRule="exact"/>
        <w:ind w:left="0" w:right="0" w:firstLine="576"/>
        <w:jc w:val="left"/>
      </w:pPr>
      <w:r>
        <w:rPr>
          <w:u w:val="single"/>
        </w:rPr>
        <w:t xml:space="preserve">(d) Residential ventilating fans that meet the standard specified in RCW 19.260.040(13)(b).</w:t>
      </w:r>
    </w:p>
    <w:p>
      <w:pPr>
        <w:spacing w:before="0" w:after="0" w:line="408" w:lineRule="exact"/>
        <w:ind w:left="0" w:right="0" w:firstLine="576"/>
        <w:jc w:val="left"/>
      </w:pPr>
      <w:r>
        <w:rPr>
          <w:u w:val="single"/>
        </w:rPr>
        <w:t xml:space="preserve">(5)</w:t>
      </w:r>
      <w:r>
        <w:rPr/>
        <w:t xml:space="preserve"> Standards for the following products expire January 1, 2020:</w:t>
      </w:r>
    </w:p>
    <w:p>
      <w:pPr>
        <w:spacing w:before="0" w:after="0" w:line="408" w:lineRule="exact"/>
        <w:ind w:left="0" w:right="0" w:firstLine="576"/>
        <w:jc w:val="left"/>
      </w:pPr>
      <w:r>
        <w:rPr/>
        <w:t xml:space="preserve">(a) Hot water dispensers; and</w:t>
      </w:r>
    </w:p>
    <w:p>
      <w:pPr>
        <w:spacing w:before="0" w:after="0" w:line="408" w:lineRule="exact"/>
        <w:ind w:left="0" w:right="0" w:firstLine="576"/>
        <w:jc w:val="left"/>
      </w:pPr>
      <w:r>
        <w:rPr/>
        <w:t xml:space="preserve">(b) Bottle-type water dispensers and point-of-use water dispensers.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0" w:after="0" w:line="408" w:lineRule="exact"/>
        <w:ind w:left="0" w:right="0" w:firstLine="576"/>
        <w:jc w:val="left"/>
      </w:pPr>
      <w:r>
        <w:rPr>
          <w:u w:val="single"/>
        </w:rPr>
        <w:t xml:space="preserve">(10) The department may by rule establish a later effective date or suspend enforcement of any of the requirements of this chapter if the department determines that such a delay or suspension is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7faa5754ca445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c0230b38f44ea" /><Relationship Type="http://schemas.openxmlformats.org/officeDocument/2006/relationships/footer" Target="/word/footer1.xml" Id="R07faa5754ca445ff" /></Relationships>
</file>