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d55a008cd64e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1747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1747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Ortiz-Self, Taylor, Davis, Peterson, Ryu, Orwall, Dolan, Simmons, Ramos, Wicks, Valdez, Fitzgibbon, Morgan, Stonier, Goodman, Ormsby, Macri, Harris-Talley, and Frame)</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relative placements in child welfare proceedings; and amending RCW 13.34.145, 13.34.180, 13.34.210, and 74.13.062.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2020 c 312 s 118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w:t>
      </w:r>
      <w:r>
        <w:t>((</w:t>
      </w:r>
      <w:r>
        <w:rPr>
          <w:strike/>
        </w:rPr>
        <w:t xml:space="preserve">twelve</w:t>
      </w:r>
      <w:r>
        <w:t>))</w:t>
      </w:r>
      <w:r>
        <w:rPr/>
        <w:t xml:space="preserve"> </w:t>
      </w:r>
      <w:r>
        <w:rPr>
          <w:u w:val="single"/>
        </w:rPr>
        <w:t xml:space="preserve">12</w:t>
      </w:r>
      <w:r>
        <w:rPr/>
        <w:t xml:space="preser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w:t>
      </w:r>
      <w:r>
        <w:t>((</w:t>
      </w:r>
      <w:r>
        <w:rPr>
          <w:strike/>
        </w:rPr>
        <w:t xml:space="preserve">twelve</w:t>
      </w:r>
      <w:r>
        <w:t>))</w:t>
      </w:r>
      <w:r>
        <w:rPr/>
        <w:t xml:space="preserve"> </w:t>
      </w:r>
      <w:r>
        <w:rPr>
          <w:u w:val="single"/>
        </w:rPr>
        <w:t xml:space="preserve">12</w:t>
      </w:r>
      <w:r>
        <w:rPr/>
        <w:t xml:space="preser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w:t>
      </w:r>
      <w:r>
        <w:t>((</w:t>
      </w:r>
      <w:r>
        <w:rPr>
          <w:strike/>
        </w:rPr>
        <w:t xml:space="preserve">fifteen</w:t>
      </w:r>
      <w:r>
        <w:t>))</w:t>
      </w:r>
      <w:r>
        <w:rPr/>
        <w:t xml:space="preserve"> </w:t>
      </w:r>
      <w:r>
        <w:rPr>
          <w:u w:val="single"/>
        </w:rPr>
        <w:t xml:space="preserve">15</w:t>
      </w:r>
      <w:r>
        <w:rPr/>
        <w:t xml:space="preserve">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w:t>
      </w:r>
      <w:r>
        <w:t>((</w:t>
      </w:r>
      <w:r>
        <w:rPr>
          <w:strike/>
        </w:rPr>
        <w:t xml:space="preserve">ten</w:t>
      </w:r>
      <w:r>
        <w:t>))</w:t>
      </w:r>
      <w:r>
        <w:rPr/>
        <w:t xml:space="preserve"> </w:t>
      </w:r>
      <w:r>
        <w:rPr>
          <w:u w:val="single"/>
        </w:rPr>
        <w:t xml:space="preserve">10</w:t>
      </w:r>
      <w:r>
        <w:rPr/>
        <w:t xml:space="preserve">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w:t>
      </w:r>
      <w:r>
        <w:t>((</w:t>
      </w:r>
      <w:r>
        <w:rPr>
          <w:strike/>
        </w:rPr>
        <w:t xml:space="preserve">seventeen</w:t>
      </w:r>
      <w:r>
        <w:t>))</w:t>
      </w:r>
      <w:r>
        <w:rPr/>
        <w:t xml:space="preserve"> </w:t>
      </w:r>
      <w:r>
        <w:rPr>
          <w:u w:val="single"/>
        </w:rPr>
        <w:t xml:space="preserve">17</w:t>
      </w:r>
      <w:r>
        <w:rPr/>
        <w:t xml:space="preserve"> years but not older than </w:t>
      </w:r>
      <w:r>
        <w:t>((</w:t>
      </w:r>
      <w:r>
        <w:rPr>
          <w:strike/>
        </w:rPr>
        <w:t xml:space="preserve">seventeen</w:t>
      </w:r>
      <w:r>
        <w:t>))</w:t>
      </w:r>
      <w:r>
        <w:rPr/>
        <w:t xml:space="preserve"> </w:t>
      </w:r>
      <w:r>
        <w:rPr>
          <w:u w:val="single"/>
        </w:rPr>
        <w:t xml:space="preserve">17</w:t>
      </w:r>
      <w:r>
        <w:rPr/>
        <w:t xml:space="preserve"> years and six months, the department shall provide the youth with written documentation which explains the availability of extended foster care services and detailed instructions regarding how the youth may access such services after he or she reaches age </w:t>
      </w:r>
      <w:r>
        <w:t>((</w:t>
      </w:r>
      <w:r>
        <w:rPr>
          <w:strike/>
        </w:rPr>
        <w:t xml:space="preserve">eighteen</w:t>
      </w:r>
      <w:r>
        <w:t>))</w:t>
      </w:r>
      <w:r>
        <w:rPr/>
        <w:t xml:space="preserve"> </w:t>
      </w:r>
      <w:r>
        <w:rPr>
          <w:u w:val="single"/>
        </w:rPr>
        <w:t xml:space="preserve">18</w:t>
      </w:r>
      <w:r>
        <w:rPr/>
        <w:t xml:space="preserve">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w:t>
      </w:r>
      <w:r>
        <w:t>((</w:t>
      </w:r>
      <w:r>
        <w:rPr>
          <w:strike/>
        </w:rPr>
        <w:t xml:space="preserve">fifteen</w:t>
      </w:r>
      <w:r>
        <w:t>))</w:t>
      </w:r>
      <w:r>
        <w:rPr/>
        <w:t xml:space="preserve"> </w:t>
      </w:r>
      <w:r>
        <w:rPr>
          <w:u w:val="single"/>
        </w:rPr>
        <w:t xml:space="preserve">15</w:t>
      </w:r>
      <w:r>
        <w:rPr/>
        <w:t xml:space="preserve"> of the most recent </w:t>
      </w:r>
      <w:r>
        <w:t>((</w:t>
      </w:r>
      <w:r>
        <w:rPr>
          <w:strike/>
        </w:rPr>
        <w:t xml:space="preserve">twenty-two</w:t>
      </w:r>
      <w:r>
        <w:t>))</w:t>
      </w:r>
      <w:r>
        <w:rPr/>
        <w:t xml:space="preserve"> </w:t>
      </w:r>
      <w:r>
        <w:rPr>
          <w:u w:val="single"/>
        </w:rPr>
        <w:t xml:space="preserve">22</w:t>
      </w:r>
      <w:r>
        <w:rPr/>
        <w:t xml:space="preserve">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w:t>
      </w:r>
      <w:r>
        <w:t>((</w:t>
      </w:r>
      <w:r>
        <w:rPr>
          <w:strike/>
        </w:rPr>
        <w:t xml:space="preserve">sixty</w:t>
      </w:r>
      <w:r>
        <w:t>))</w:t>
      </w:r>
      <w:r>
        <w:rPr/>
        <w:t xml:space="preserve"> </w:t>
      </w:r>
      <w:r>
        <w:rPr>
          <w:u w:val="single"/>
        </w:rPr>
        <w:t xml:space="preserve">60</w:t>
      </w:r>
      <w:r>
        <w:rPr/>
        <w:t xml:space="preserve">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guardian, a guardian pursuant to RCW 11.130.215,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w:t>
      </w:r>
      <w:r>
        <w:t>((</w:t>
      </w:r>
      <w:r>
        <w:rPr>
          <w:strike/>
        </w:rPr>
        <w:t xml:space="preserve">fifteen</w:t>
      </w:r>
      <w:r>
        <w:t>))</w:t>
      </w:r>
      <w:r>
        <w:rPr/>
        <w:t xml:space="preserve"> </w:t>
      </w:r>
      <w:r>
        <w:rPr>
          <w:u w:val="single"/>
        </w:rPr>
        <w:t xml:space="preserve">15</w:t>
      </w:r>
      <w:r>
        <w:rPr/>
        <w:t xml:space="preserve"> of the last </w:t>
      </w:r>
      <w:r>
        <w:t>((</w:t>
      </w:r>
      <w:r>
        <w:rPr>
          <w:strike/>
        </w:rPr>
        <w:t xml:space="preserve">twenty-two</w:t>
      </w:r>
      <w:r>
        <w:t>))</w:t>
      </w:r>
      <w:r>
        <w:rPr/>
        <w:t xml:space="preserve"> </w:t>
      </w:r>
      <w:r>
        <w:rPr>
          <w:u w:val="single"/>
        </w:rPr>
        <w:t xml:space="preserve">22</w:t>
      </w:r>
      <w:r>
        <w:rPr/>
        <w:t xml:space="preserve">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w:t>
      </w:r>
      <w:r>
        <w:t>((</w:t>
      </w:r>
      <w:r>
        <w:rPr>
          <w:strike/>
        </w:rPr>
        <w:t xml:space="preserve">fifteen</w:t>
      </w:r>
      <w:r>
        <w:t>))</w:t>
      </w:r>
      <w:r>
        <w:rPr/>
        <w:t xml:space="preserve"> </w:t>
      </w:r>
      <w:r>
        <w:rPr>
          <w:u w:val="single"/>
        </w:rPr>
        <w:t xml:space="preserve">15</w:t>
      </w:r>
      <w:r>
        <w:rPr/>
        <w:t xml:space="preserve"> of the last </w:t>
      </w:r>
      <w:r>
        <w:t>((</w:t>
      </w:r>
      <w:r>
        <w:rPr>
          <w:strike/>
        </w:rPr>
        <w:t xml:space="preserve">twenty-two</w:t>
      </w:r>
      <w:r>
        <w:t>))</w:t>
      </w:r>
      <w:r>
        <w:rPr/>
        <w:t xml:space="preserve"> </w:t>
      </w:r>
      <w:r>
        <w:rPr>
          <w:u w:val="single"/>
        </w:rPr>
        <w:t xml:space="preserve">22</w:t>
      </w:r>
      <w:r>
        <w:rPr/>
        <w:t xml:space="preserve">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w:t>
      </w:r>
      <w:r>
        <w:t>((</w:t>
      </w:r>
      <w:r>
        <w:rPr>
          <w:strike/>
        </w:rPr>
        <w:t xml:space="preserve">or</w:t>
      </w:r>
      <w:r>
        <w:t>))</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r>
        <w:rPr>
          <w:u w:val="single"/>
        </w:rPr>
        <w:t xml:space="preserve">; or</w:t>
      </w:r>
    </w:p>
    <w:p>
      <w:pPr>
        <w:spacing w:before="0" w:after="0" w:line="408" w:lineRule="exact"/>
        <w:ind w:left="0" w:right="0" w:firstLine="576"/>
        <w:jc w:val="left"/>
      </w:pPr>
      <w:r>
        <w:rPr>
          <w:u w:val="single"/>
        </w:rPr>
        <w:t xml:space="preserve">(vii) The department has not yet met with the caregiver for the child to discuss guardianship as an alternative to adoption or the court has determined that guardianship is an appropriate permanent plan</w:t>
      </w:r>
      <w:r>
        <w:rPr/>
        <w:t xml:space="preserv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w:t>
      </w:r>
      <w:r>
        <w:t>((</w:t>
      </w:r>
      <w:r>
        <w:rPr>
          <w:strike/>
        </w:rPr>
        <w:t xml:space="preserve">If the department is recommending a placement other than the child's current placement with a foster parent, relative, or other suitable person, enter a finding as to the reasons for the recommendation for a change in placement.</w:t>
      </w:r>
      <w:r>
        <w:t>))</w:t>
      </w:r>
      <w:r>
        <w:rPr/>
        <w:t xml:space="preserve"> </w:t>
      </w:r>
      <w:r>
        <w:rPr>
          <w:u w:val="single"/>
        </w:rPr>
        <w:t xml:space="preserve">Instruct the department to discuss guardianship as a permanent option for the child with the child's parents and caregiver as an alternative to termination of parental rights and adoption. No child who is placed with a relative or other suitable person may be moved, unless, pursuant to the criteria established in RCW 13.34.130, the court finds that a change in circumstances necessitates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w:t>
      </w:r>
      <w:r>
        <w:t>((</w:t>
      </w:r>
      <w:r>
        <w:rPr>
          <w:strike/>
        </w:rPr>
        <w:t xml:space="preserve">twelve</w:t>
      </w:r>
      <w:r>
        <w:t>))</w:t>
      </w:r>
      <w:r>
        <w:rPr/>
        <w:t xml:space="preserve"> </w:t>
      </w:r>
      <w:r>
        <w:rPr>
          <w:u w:val="single"/>
        </w:rPr>
        <w:t xml:space="preserve">12</w:t>
      </w:r>
      <w:r>
        <w:rPr/>
        <w:t xml:space="preser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2018 c 284 s 20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w:t>
      </w:r>
      <w:r>
        <w:t>((</w:t>
      </w:r>
      <w:r>
        <w:rPr>
          <w:strike/>
        </w:rPr>
        <w:t xml:space="preserve">twelve</w:t>
      </w:r>
      <w:r>
        <w:t>))</w:t>
      </w:r>
      <w:r>
        <w:rPr/>
        <w:t xml:space="preserve"> </w:t>
      </w:r>
      <w:r>
        <w:rPr>
          <w:u w:val="single"/>
        </w:rPr>
        <w:t xml:space="preserve">12</w:t>
      </w:r>
      <w:r>
        <w:rPr/>
        <w:t xml:space="preser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w:t>
      </w:r>
      <w:r>
        <w:rPr>
          <w:u w:val="single"/>
        </w:rPr>
        <w:t xml:space="preserve">In making this determination, the court must consider the efforts taken by the department to support a guardianship and whether a guardianship is available as a permanent option for the child.</w:t>
      </w:r>
      <w:r>
        <w:rPr/>
        <w:t xml:space="preserve"> If the parent is incarcerated, the court shall consider whether a parent maintains a meaningful role in his or her child's life based on factors identified in RCW 13.34.145(5)(b); whether the department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0"/>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children, youth, and families or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2020 c 312 s 120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willing to accept custody for the purpose of placing the child for adoption. If an adoptive home has not been identified, the department shall place the child in a licensed foster home, or take other suitable measures for the care and welfare of the child. </w:t>
      </w:r>
      <w:r>
        <w:rPr>
          <w:u w:val="single"/>
        </w:rPr>
        <w:t xml:space="preserve">The placement standards provided in RCW 13.34.130 continue to apply throughout the life of the case, except that the court need not consider whether reunification with the parent will be hindered when evaluating relative placements.</w:t>
      </w:r>
      <w:r>
        <w:rPr/>
        <w:t xml:space="preserve">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a guardianship of a minor under RCW 11.130.215 has not been entered by the court, the court shall review the case every six months until a decree of adoption is entered. The department shall take reasonable steps to ensure that the child maintains relationships with siblings as provided in RCW 13.34.130(7)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2017 3rd sp.s. c 6 s 404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 </w:t>
      </w:r>
      <w:r>
        <w:rPr>
          <w:u w:val="single"/>
        </w:rPr>
        <w:t xml:space="preserve">or as a guardian of a minor under RCW 11.130.215</w:t>
      </w:r>
      <w:r>
        <w:rPr/>
        <w:t xml:space="preserve">.</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unless doing so would compromise the child's safety, or would adversely affect the state's ability to continue to obtain federal funding for child welfare related functions.</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
      <w:pPr>
        <w:jc w:val="center"/>
      </w:pPr>
      <w:r>
        <w:rPr>
          <w:b/>
        </w:rPr>
        <w:t>--- END ---</w:t>
      </w:r>
    </w:p>
    <w:sectPr>
      <w:pgNumType w:start="1"/>
      <w:footerReference xmlns:r="http://schemas.openxmlformats.org/officeDocument/2006/relationships" r:id="R3976b708536c4b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f187cc20144a36" /><Relationship Type="http://schemas.openxmlformats.org/officeDocument/2006/relationships/footer" Target="/word/footer1.xml" Id="R3976b708536c4b2c" /></Relationships>
</file>