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560dc0de04955" /></Relationships>
</file>

<file path=word/document.xml><?xml version="1.0" encoding="utf-8"?>
<w:document xmlns:w="http://schemas.openxmlformats.org/wordprocessingml/2006/main">
  <w:body>
    <w:p>
      <w:r>
        <w:t>S-1136.2</w:t>
      </w:r>
    </w:p>
    <w:p>
      <w:pPr>
        <w:jc w:val="center"/>
      </w:pPr>
      <w:r>
        <w:t>_______________________________________________</w:t>
      </w:r>
    </w:p>
    <w:p/>
    <w:p>
      <w:pPr>
        <w:jc w:val="center"/>
      </w:pPr>
      <w:r>
        <w:rPr>
          <w:b/>
        </w:rPr>
        <w:t>SUBSTITUTE SENATE BILL 5010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Das, Randall, Billig, Carlyle, Conway, Dhingra, Hasegawa, Hunt, Keiser, Kuderer, Liias, Lovelett, Nobles, Nguyen, Pedersen, Robinson, Rolfes, Saldaña, Stanford, Van De Wege, and Wilson, C.; by request of Insurance Commissioner and Office of the Governor)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credit history for personal lines of insurance if it improves a consumer's insurance score and lowers their premium for a period of three years; amending RCW 48.19.035;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protect insureds from the possibility of adverse effects of the pandemic on their personal insurance rates by limiting the use of consumer credit history for a period of three years. This act will ensure that insurance does not become more unaffordable for individuals and families encountering financial challenges brought on by the pandemic by prohibiting its use unless the affect is an improved insurance score and lower premium. By providing this consumer protection during this extraordinary time, the legislature intends to provide necessary temporary relief to Washington state insureds whose credit scores have been negatively affected because of this economic crisis.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w:t>
      </w:r>
      <w:r>
        <w:t>((</w:t>
      </w:r>
      <w:r>
        <w:rPr>
          <w:strike/>
        </w:rPr>
        <w:t xml:space="preserve">types of credit history</w:t>
      </w:r>
      <w:r>
        <w:t>))</w:t>
      </w:r>
      <w:r>
        <w:rPr/>
        <w:t xml:space="preserve">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w:t>
      </w:r>
      <w:r>
        <w:t>((</w:t>
      </w:r>
      <w:r>
        <w:rPr>
          <w:strike/>
        </w:rPr>
        <w:t xml:space="preserve">or</w:t>
      </w:r>
      <w:r>
        <w:t>))</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r>
        <w:rPr>
          <w:u w:val="single"/>
        </w:rPr>
        <w:t xml:space="preserve">; or</w:t>
      </w:r>
    </w:p>
    <w:p>
      <w:pPr>
        <w:spacing w:before="0" w:after="0" w:line="408" w:lineRule="exact"/>
        <w:ind w:left="0" w:right="0" w:firstLine="576"/>
        <w:jc w:val="left"/>
      </w:pPr>
      <w:r>
        <w:rPr>
          <w:u w:val="single"/>
        </w:rPr>
        <w:t xml:space="preserve">(g) Credit history to increase rates or premiums at renewal for any personal insurance policy effective 90 days after approval of the special credit score rate rule, established in subsection (6) of this section, through June 30, 2024</w:t>
      </w:r>
      <w:r>
        <w:rPr/>
        <w:t xml:space="preserve">.</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w:t>
      </w:r>
      <w:r>
        <w:t>((</w:t>
      </w:r>
      <w:r>
        <w:rPr>
          <w:strike/>
        </w:rPr>
        <w:t xml:space="preserve">This section applies to all personal insurance policies issued or renewed on or after June 30, 2003</w:t>
      </w:r>
      <w:r>
        <w:t>))</w:t>
      </w:r>
      <w:r>
        <w:rPr/>
        <w:t xml:space="preserve"> </w:t>
      </w:r>
      <w:r>
        <w:rPr>
          <w:u w:val="single"/>
        </w:rPr>
        <w:t xml:space="preserve">(a) To comply with subsection (3)(g) of this section, property and casualty insurers must file a special credit score rate rule by July 1, 2021, and apply it to renewals within 90 days after approval. The special credit score rate rule shall contain the following language or substantively equivalent variations thereof: "When the consumer credit history of a policyholder is reordered, it will only be used in the rating of the policy when the consumer credit history reorder result is equal to or better than that of the current consumer credit history under which the policy is rated."</w:t>
      </w:r>
    </w:p>
    <w:p>
      <w:pPr>
        <w:spacing w:before="0" w:after="0" w:line="408" w:lineRule="exact"/>
        <w:ind w:left="0" w:right="0" w:firstLine="576"/>
        <w:jc w:val="left"/>
      </w:pPr>
      <w:r>
        <w:rPr>
          <w:u w:val="single"/>
        </w:rPr>
        <w:t xml:space="preserve">(b) The commissioner shall approve the special credit score rate rule filing within 15 days of receipt.</w:t>
      </w:r>
    </w:p>
    <w:p>
      <w:pPr>
        <w:spacing w:before="0" w:after="0" w:line="408" w:lineRule="exact"/>
        <w:ind w:left="0" w:right="0" w:firstLine="576"/>
        <w:jc w:val="left"/>
      </w:pPr>
      <w:r>
        <w:rPr>
          <w:u w:val="single"/>
        </w:rPr>
        <w:t xml:space="preserve">(7) Rate rule filings submitted in compliance with this section do not violate RCW 48.19.020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76d104ced548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baca19f3c421a" /><Relationship Type="http://schemas.openxmlformats.org/officeDocument/2006/relationships/footer" Target="/word/footer1.xml" Id="R3676d104ced54889" /></Relationships>
</file>