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8bfbbd4b9d4ea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5097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Robinson, Conway, Darneille, Das, Hasegawa, Hunt, Keiser, Liias, Lovelett, Nguyen, Saldaña, Stanford, Van De Wege, and Wilson, C.)</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coverage of the paid family and medical leave program; amending RCW 50A.050.010;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prevent impacts, based on this act, to the family and medical leave insurance account or the application of a solvency surcharge.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2020 c 125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w:t>
      </w:r>
      <w:r>
        <w:t>((</w:t>
      </w:r>
      <w:r>
        <w:rPr>
          <w:strike/>
        </w:rPr>
        <w:t xml:space="preserve">(10)</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(11) "Family member" means a child, grandchild, grandparent, parent, sibling, or spouse of an employee</w:t>
      </w:r>
      <w:r>
        <w:rPr>
          <w:u w:val="single"/>
        </w:rPr>
        <w:t xml:space="preserve">, and also includes any individual who regularly resides in the employee's home or where the relationship creates an expectation that the employee care for the person, and that individual depends on the employee for care</w:t>
      </w:r>
      <w:r>
        <w:rPr/>
        <w:t xml:space="preserve">.</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rPr/>
        <w:t xml:space="preserve">(20)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(21)(a)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t xml:space="preserve">(22)(a)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 licensed substance abuse treatment provider. 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(23) "Service is localized in this state" has the same meaning as described in RCW 50.04.120.</w:t>
      </w:r>
    </w:p>
    <w:p>
      <w:pPr>
        <w:spacing w:before="0" w:after="0" w:line="408" w:lineRule="exact"/>
        <w:ind w:left="0" w:right="0" w:firstLine="576"/>
        <w:jc w:val="left"/>
      </w:pPr>
      <w:r>
        <w:rPr/>
        <w:t xml:space="preserve">(24) "Spouse" means a husband or wife, as the case may be, or state registered domestic partner.</w:t>
      </w:r>
    </w:p>
    <w:p>
      <w:pPr>
        <w:spacing w:before="0" w:after="0" w:line="408" w:lineRule="exact"/>
        <w:ind w:left="0" w:right="0" w:firstLine="576"/>
        <w:jc w:val="left"/>
      </w:pPr>
      <w:r>
        <w:rPr/>
        <w:t xml:space="preserve">(25)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(26)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t xml:space="preserve">(27)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(28)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must collaborate with the paid family and medical leave advisory committee to collect and analyze disaggregated data relating to employment protections under Title 50A RCW.</w:t>
      </w:r>
    </w:p>
    <w:p>
      <w:pPr>
        <w:spacing w:before="0" w:after="0" w:line="408" w:lineRule="exact"/>
        <w:ind w:left="0" w:right="0" w:firstLine="576"/>
        <w:jc w:val="left"/>
      </w:pPr>
      <w:r>
        <w:rPr/>
        <w:t xml:space="preserve">(2) By December 1, 2021, the employment security department must submit a report to the appropriate committees of the legislature with the following information:</w:t>
      </w:r>
    </w:p>
    <w:p>
      <w:pPr>
        <w:spacing w:before="0" w:after="0" w:line="408" w:lineRule="exact"/>
        <w:ind w:left="0" w:right="0" w:firstLine="576"/>
        <w:jc w:val="left"/>
      </w:pPr>
      <w:r>
        <w:rPr/>
        <w:t xml:space="preserve">(a) Program utilization by employees covered under approved voluntary plans compared to employees covered under the state plan;</w:t>
      </w:r>
    </w:p>
    <w:p>
      <w:pPr>
        <w:spacing w:before="0" w:after="0" w:line="408" w:lineRule="exact"/>
        <w:ind w:left="0" w:right="0" w:firstLine="576"/>
        <w:jc w:val="left"/>
      </w:pPr>
      <w:r>
        <w:rPr/>
        <w:t xml:space="preserve">(b) Program utilization by employees working for employers with 50 or more employees compared to employees working for employers with fewer than 50 employees;</w:t>
      </w:r>
    </w:p>
    <w:p>
      <w:pPr>
        <w:spacing w:before="0" w:after="0" w:line="408" w:lineRule="exact"/>
        <w:ind w:left="0" w:right="0" w:firstLine="576"/>
        <w:jc w:val="left"/>
      </w:pPr>
      <w:r>
        <w:rPr/>
        <w:t xml:space="preserve">(c) The number of employees who took leave from an employer and did not appear on that employer's subsequent quarterly premium reports after leave had been completed. This data will be broken out between employers with 50 or more employees, by employment sector, and by employee earnings level. It will also include available employee demographic information, including data broken out by race and gender; and</w:t>
      </w:r>
    </w:p>
    <w:p>
      <w:pPr>
        <w:spacing w:before="0" w:after="0" w:line="408" w:lineRule="exact"/>
        <w:ind w:left="0" w:right="0" w:firstLine="576"/>
        <w:jc w:val="left"/>
      </w:pPr>
      <w:r>
        <w:rPr/>
        <w:t xml:space="preserve">(d) The lengths of leave employees took for different purposes, broken out between employers with 50 or more employees and employers with fewer than 50 employees, whether the employee appeared on subsequent quarterly premium reports after leave had been completed, by employment sector, and by employee earnings level. It will also include available employee demographic information, including data broken out by race and gender.</w:t>
      </w:r>
    </w:p>
    <w:p>
      <w:pPr>
        <w:spacing w:before="0" w:after="0" w:line="408" w:lineRule="exact"/>
        <w:ind w:left="0" w:right="0" w:firstLine="576"/>
        <w:jc w:val="left"/>
      </w:pPr>
      <w:r>
        <w:rPr/>
        <w:t xml:space="preserve">(3) By June 30, 2022, and June 30, 2023, the employment security department must submit a report to the appropriate committees of the legislature with the following information:</w:t>
      </w:r>
    </w:p>
    <w:p>
      <w:pPr>
        <w:spacing w:before="0" w:after="0" w:line="408" w:lineRule="exact"/>
        <w:ind w:left="0" w:right="0" w:firstLine="576"/>
        <w:jc w:val="left"/>
      </w:pPr>
      <w:r>
        <w:rPr/>
        <w:t xml:space="preserve">(a) The number of individuals who used leave under Title 50A RCW in the preceding 12 months as a result of the amended definition of family member in this act; and</w:t>
      </w:r>
    </w:p>
    <w:p>
      <w:pPr>
        <w:spacing w:before="0" w:after="0" w:line="408" w:lineRule="exact"/>
        <w:ind w:left="0" w:right="0" w:firstLine="576"/>
        <w:jc w:val="left"/>
      </w:pPr>
      <w:r>
        <w:rPr/>
        <w:t xml:space="preserve">(b) The effects, if any, on the family and medical leave insurance account as a result of the amended definition of family member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number of individuals utilizing leave under Title 50A RCW as a result of the amended definition of family member in this act exceeds 500 individuals in any calendar year before July 1, 2023, the expenses of the additional leave must be paid by the general fund into the family and medical leave insurance account created in RCW 50A.05.070.</w:t>
      </w:r>
    </w:p>
    <w:p/>
    <w:p>
      <w:pPr>
        <w:jc w:val="center"/>
      </w:pPr>
      <w:r>
        <w:rPr>
          <w:b/>
        </w:rPr>
        <w:t>--- END ---</w:t>
      </w:r>
    </w:p>
    <w:sectPr>
      <w:pgNumType w:start="1"/>
      <w:footerReference xmlns:r="http://schemas.openxmlformats.org/officeDocument/2006/relationships" r:id="Ra7e162c9020440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9b8cfabec7465b" /><Relationship Type="http://schemas.openxmlformats.org/officeDocument/2006/relationships/footer" Target="/word/footer1.xml" Id="Ra7e162c9020440a9" /></Relationships>
</file>