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c6712405449b7" /></Relationships>
</file>

<file path=word/document.xml><?xml version="1.0" encoding="utf-8"?>
<w:document xmlns:w="http://schemas.openxmlformats.org/wordprocessingml/2006/main">
  <w:body>
    <w:p>
      <w:r>
        <w:t>S-0648.2</w:t>
      </w:r>
    </w:p>
    <w:p>
      <w:pPr>
        <w:jc w:val="center"/>
      </w:pPr>
      <w:r>
        <w:t>_______________________________________________</w:t>
      </w:r>
    </w:p>
    <w:p/>
    <w:p>
      <w:pPr>
        <w:jc w:val="center"/>
      </w:pPr>
      <w:r>
        <w:rPr>
          <w:b/>
        </w:rPr>
        <w:t>SUBSTITUTE SENATE BILL 5122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Kuderer, Nguyen, Pedersen, Robinson, Saldaña, and Wilson, C.)</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jurisdiction of juvenile court; amending RCW 9A.04.050, 13.04.030, 13.04.030, 13.40.020, 13.40.020, 13.40.0357, 13.40.0357, 13.40.080, 13.40.080, 13.40.193, 13.40.193, 13.40.300, 13.40.300, 13.40.511, 13.40.511, 13.40.590, 13.40.590, 13.40.600, and 13.40.600; reenacting and amending RCW 13.04.011 and 13.04.011; adding a new section to chapter 13.04 RCW; adding new sections to chapter 43.216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 of the juvenile justice system should be to protect public safety, connect youth with age-appropriate services that reduce the risk of recidivism, and provide meaningful rehabilitation so all youth can have the opportunity for success in life. The legislature declares that responses to problematic behaviors of youth should be guided by evidence-based practices and that policy changes to the system should be strongly rooted in eliminating racial inequities.</w:t>
      </w:r>
    </w:p>
    <w:p>
      <w:pPr>
        <w:spacing w:before="0" w:after="0" w:line="408" w:lineRule="exact"/>
        <w:ind w:left="0" w:right="0" w:firstLine="576"/>
        <w:jc w:val="left"/>
      </w:pPr>
      <w:r>
        <w:rPr/>
        <w:t xml:space="preserve">The legislature recognizes that a scientific consensus has developed that demonstrates that youth continue to develop neurologically until age 26. The legislature finds that youth ages eight through 12 are less capable of making fully informed decisions and youth ages 18 and 19 are particularly susceptible to outside factors influencing their decision making. The legislature recognizes that on January 18, 2021, the Washington state board of health released a review regarding the health impacts of raising the age of the juvenile court's jurisdiction to likely decrease the juvenile criminal legal system's involvement for some youth ages eight through 12 and to likely decrease the adult criminal legal system's involvement for some emerging adults ages 18 and 19. The board further found very strong evidence that this would decrease juvenile recidivism and improve health outcomes, access to employment opportunities, housing access, and economic stability.</w:t>
      </w:r>
    </w:p>
    <w:p>
      <w:pPr>
        <w:spacing w:before="0" w:after="0" w:line="408" w:lineRule="exact"/>
        <w:ind w:left="0" w:right="0" w:firstLine="576"/>
        <w:jc w:val="left"/>
      </w:pPr>
      <w:r>
        <w:rPr/>
        <w:t xml:space="preserve">The legislature recognizes the important role that local governments play in ensuring access to justice in the juvenile court system. The legislature recognizes that increased jurisdiction in juvenile court may increase expenses for juvenile court systems despite significant offset savings in the adult system through reduced adult caseloads. The legislature intends to partner with local governments, courts, and other stakeholders to ensure successful implementation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under the age of </w:t>
      </w:r>
      <w:r>
        <w:t>((</w:t>
      </w:r>
      <w:r>
        <w:rPr>
          <w:strike/>
        </w:rPr>
        <w:t xml:space="preserve">eight</w:t>
      </w:r>
      <w:r>
        <w:t>))</w:t>
      </w:r>
      <w:r>
        <w:rPr/>
        <w:t xml:space="preserve"> </w:t>
      </w:r>
      <w:r>
        <w:rPr>
          <w:u w:val="single"/>
        </w:rPr>
        <w:t xml:space="preserve">13</w:t>
      </w:r>
      <w:r>
        <w:rPr/>
        <w:t xml:space="preserve"> years are incapable of committing crime</w:t>
      </w:r>
      <w:r>
        <w:t>((</w:t>
      </w:r>
      <w:r>
        <w:rPr>
          <w:strike/>
        </w:rPr>
        <w:t xml:space="preserve">. Children</w:t>
      </w:r>
      <w:r>
        <w:t>))</w:t>
      </w:r>
      <w:r>
        <w:rPr>
          <w:u w:val="single"/>
        </w:rPr>
        <w:t xml:space="preserve">, except that children</w:t>
      </w:r>
      <w:r>
        <w:rPr/>
        <w:t xml:space="preserve"> of eight </w:t>
      </w:r>
      <w:r>
        <w:t>((</w:t>
      </w:r>
      <w:r>
        <w:rPr>
          <w:strike/>
        </w:rPr>
        <w:t xml:space="preserve">and under</w:t>
      </w:r>
      <w:r>
        <w:t>))</w:t>
      </w:r>
      <w:r>
        <w:rPr/>
        <w:t xml:space="preserve"> </w:t>
      </w:r>
      <w:r>
        <w:rPr>
          <w:u w:val="single"/>
        </w:rPr>
        <w:t xml:space="preserve">through</w:t>
      </w:r>
      <w:r>
        <w:rPr/>
        <w:t xml:space="preserve"> twelve years of age </w:t>
      </w:r>
      <w:r>
        <w:rPr>
          <w:u w:val="single"/>
        </w:rPr>
        <w:t xml:space="preserve">who are charged with murder in the first or second degree</w:t>
      </w:r>
      <w:r>
        <w:rPr/>
        <w:t xml:space="preserve"> are presumed to be incapable of committing crime, but this presumption may be removed by proof that they have sufficient capacity to understand the act or neglect, and to know that it was wrong.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2017 3rd sp.s. c 6 s 601 are each reenacted and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"Court" when used without further qualification means the juvenile court judge(s) or commissioner(s);</w:t>
      </w:r>
    </w:p>
    <w:p>
      <w:pPr>
        <w:spacing w:before="0" w:after="0" w:line="408" w:lineRule="exact"/>
        <w:ind w:left="0" w:right="0" w:firstLine="576"/>
        <w:jc w:val="left"/>
      </w:pPr>
      <w:r>
        <w:rPr/>
        <w:t xml:space="preserve">(3) "Custodian" means that person who has the legal right to custody of the child;</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Except as specifically provided in RCW 13.40.020 and chapters 13.24 and 13.34 RCW, "juvenile," "youth," and "child" mean any individual who is under the chronological age of </w:t>
      </w:r>
      <w:r>
        <w:t>((</w:t>
      </w:r>
      <w:r>
        <w:rPr>
          <w:strike/>
        </w:rPr>
        <w:t xml:space="preserve">eighteen</w:t>
      </w:r>
      <w:r>
        <w:t>))</w:t>
      </w:r>
      <w:r>
        <w:rPr/>
        <w:t xml:space="preserve"> </w:t>
      </w:r>
      <w:r>
        <w:rPr>
          <w:u w:val="single"/>
        </w:rPr>
        <w:t xml:space="preserve">19</w:t>
      </w:r>
      <w:r>
        <w:rPr/>
        <w:t xml:space="preserve"> years;</w:t>
      </w:r>
    </w:p>
    <w:p>
      <w:pPr>
        <w:spacing w:before="0" w:after="0" w:line="408" w:lineRule="exact"/>
        <w:ind w:left="0" w:right="0" w:firstLine="576"/>
        <w:jc w:val="left"/>
      </w:pPr>
      <w:r>
        <w:rPr/>
        <w:t xml:space="preserve">(6) "Juvenile offender" and "juvenile offense" have the meaning ascribed in RCW 13.40.020;</w:t>
      </w:r>
    </w:p>
    <w:p>
      <w:pPr>
        <w:spacing w:before="0" w:after="0" w:line="408" w:lineRule="exact"/>
        <w:ind w:left="0" w:right="0" w:firstLine="576"/>
        <w:jc w:val="left"/>
      </w:pPr>
      <w:r>
        <w:rPr/>
        <w:t xml:space="preserve">(7) "Parent" or "parents," except as used in chapter 13.34 RCW, means that parent or parents who have the right of legal custody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2017 3rd sp.s. c 6 s 601 are each reenacted and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"Court" when used without further qualification means the juvenile court judge(s) or commissioner(s);</w:t>
      </w:r>
    </w:p>
    <w:p>
      <w:pPr>
        <w:spacing w:before="0" w:after="0" w:line="408" w:lineRule="exact"/>
        <w:ind w:left="0" w:right="0" w:firstLine="576"/>
        <w:jc w:val="left"/>
      </w:pPr>
      <w:r>
        <w:rPr/>
        <w:t xml:space="preserve">(3) "Custodian" means that person who has the legal right to custody of the child;</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Except as specifically provided in RCW 13.40.020 and chapters 13.24 and 13.34 RCW, "juvenile," "youth," and "child" mean any individual who is under the chronological age of </w:t>
      </w:r>
      <w:r>
        <w:t>((</w:t>
      </w:r>
      <w:r>
        <w:rPr>
          <w:strike/>
        </w:rPr>
        <w:t xml:space="preserve">eighteen</w:t>
      </w:r>
      <w:r>
        <w:t>))</w:t>
      </w:r>
      <w:r>
        <w:rPr/>
        <w:t xml:space="preserve"> </w:t>
      </w:r>
      <w:r>
        <w:rPr>
          <w:u w:val="single"/>
        </w:rPr>
        <w:t xml:space="preserve">20</w:t>
      </w:r>
      <w:r>
        <w:rPr/>
        <w:t xml:space="preserve"> years;</w:t>
      </w:r>
    </w:p>
    <w:p>
      <w:pPr>
        <w:spacing w:before="0" w:after="0" w:line="408" w:lineRule="exact"/>
        <w:ind w:left="0" w:right="0" w:firstLine="576"/>
        <w:jc w:val="left"/>
      </w:pPr>
      <w:r>
        <w:rPr/>
        <w:t xml:space="preserve">(6) "Juvenile offender" and "juvenile offense" have the meaning ascribed in RCW 13.40.020;</w:t>
      </w:r>
    </w:p>
    <w:p>
      <w:pPr>
        <w:spacing w:before="0" w:after="0" w:line="408" w:lineRule="exact"/>
        <w:ind w:left="0" w:right="0" w:firstLine="576"/>
        <w:jc w:val="left"/>
      </w:pPr>
      <w:r>
        <w:rPr/>
        <w:t xml:space="preserve">(7) "Parent" or "parents," except as used in chapter 13.34 RCW, means that parent or parents who have the right of legal custody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2020 c 41 s 4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w:t>
      </w:r>
      <w:r>
        <w:t>((</w:t>
      </w:r>
      <w:r>
        <w:rPr>
          <w:strike/>
        </w:rPr>
        <w:t xml:space="preserve">or seventeen</w:t>
      </w:r>
      <w:r>
        <w:t>))</w:t>
      </w:r>
      <w:r>
        <w:rPr/>
        <w:t xml:space="preserve"> years </w:t>
      </w:r>
      <w:r>
        <w:t>((</w:t>
      </w:r>
      <w:r>
        <w:rPr>
          <w:strike/>
        </w:rPr>
        <w:t xml:space="preserve">old</w:t>
      </w:r>
      <w:r>
        <w:t>))</w:t>
      </w:r>
      <w:r>
        <w:rPr/>
        <w:t xml:space="preserve"> </w:t>
      </w:r>
      <w:r>
        <w:rPr>
          <w:u w:val="single"/>
        </w:rPr>
        <w:t xml:space="preserve">of age or older</w:t>
      </w:r>
      <w:r>
        <w:rPr/>
        <w:t xml:space="preserve">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w:t>
      </w:r>
      <w:r>
        <w:t>((</w:t>
      </w:r>
      <w:r>
        <w:rPr>
          <w:strike/>
        </w:rPr>
        <w:t xml:space="preserve">eighteen</w:t>
      </w:r>
      <w:r>
        <w:t>))</w:t>
      </w:r>
      <w:r>
        <w:rPr/>
        <w:t xml:space="preserve"> </w:t>
      </w:r>
      <w:r>
        <w:rPr>
          <w:u w:val="single"/>
        </w:rPr>
        <w:t xml:space="preserve">19</w:t>
      </w:r>
      <w:r>
        <w:rPr/>
        <w:t xml:space="preserve">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19</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2020 c 41 s 4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w:t>
      </w:r>
      <w:r>
        <w:t>((</w:t>
      </w:r>
      <w:r>
        <w:rPr>
          <w:strike/>
        </w:rPr>
        <w:t xml:space="preserve">or seventeen</w:t>
      </w:r>
      <w:r>
        <w:t>))</w:t>
      </w:r>
      <w:r>
        <w:rPr/>
        <w:t xml:space="preserve"> years </w:t>
      </w:r>
      <w:r>
        <w:t>((</w:t>
      </w:r>
      <w:r>
        <w:rPr>
          <w:strike/>
        </w:rPr>
        <w:t xml:space="preserve">old</w:t>
      </w:r>
      <w:r>
        <w:t>))</w:t>
      </w:r>
      <w:r>
        <w:rPr/>
        <w:t xml:space="preserve"> </w:t>
      </w:r>
      <w:r>
        <w:rPr>
          <w:u w:val="single"/>
        </w:rPr>
        <w:t xml:space="preserve">of age or older</w:t>
      </w:r>
      <w:r>
        <w:rPr/>
        <w:t xml:space="preserve">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w:t>
      </w:r>
      <w:r>
        <w:t>((</w:t>
      </w:r>
      <w:r>
        <w:rPr>
          <w:strike/>
        </w:rPr>
        <w:t xml:space="preserve">eighteen</w:t>
      </w:r>
      <w:r>
        <w:t>))</w:t>
      </w:r>
      <w:r>
        <w:rPr/>
        <w:t xml:space="preserve"> </w:t>
      </w:r>
      <w:r>
        <w:rPr>
          <w:u w:val="single"/>
        </w:rPr>
        <w:t xml:space="preserve">20</w:t>
      </w:r>
      <w:r>
        <w:rPr/>
        <w:t xml:space="preserve">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20</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w:t>
      </w:r>
      <w:r>
        <w:t>((</w:t>
      </w:r>
      <w:r>
        <w:rPr>
          <w:strike/>
        </w:rPr>
        <w:t xml:space="preserve">eighteen</w:t>
      </w:r>
      <w:r>
        <w:t>))</w:t>
      </w:r>
      <w:r>
        <w:rPr/>
        <w:t xml:space="preserve"> </w:t>
      </w:r>
      <w:r>
        <w:rPr>
          <w:u w:val="single"/>
        </w:rPr>
        <w:t xml:space="preserve">19</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19</w:t>
      </w:r>
      <w:r>
        <w:rPr/>
        <w:t xml:space="preserve">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w:t>
      </w:r>
      <w:r>
        <w:t>((</w:t>
      </w:r>
      <w:r>
        <w:rPr>
          <w:strike/>
        </w:rPr>
        <w:t xml:space="preserve">eighteen</w:t>
      </w:r>
      <w:r>
        <w:t>))</w:t>
      </w:r>
      <w:r>
        <w:rPr/>
        <w:t xml:space="preserve"> </w:t>
      </w:r>
      <w:r>
        <w:rPr>
          <w:u w:val="single"/>
        </w:rPr>
        <w:t xml:space="preserve">20</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20</w:t>
      </w:r>
      <w:r>
        <w:rPr/>
        <w:t xml:space="preserve">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w:t>
            </w:r>
            <w:r>
              <w:t>((</w:t>
            </w:r>
            <w:r>
              <w:rPr>
                <w:rFonts w:ascii="Times New Roman" w:hAnsi="Times New Roman"/>
                <w:strike/>
                <w:sz w:val="20"/>
              </w:rPr>
              <w:t xml:space="preserve">17</w:t>
            </w:r>
            <w:r>
              <w:t>))</w:t>
            </w:r>
            <w:r>
              <w:rPr>
                <w:rFonts w:ascii="Times New Roman" w:hAnsi="Times New Roman"/>
                <w:sz w:val="20"/>
              </w:rPr>
              <w:t xml:space="preserve"> </w:t>
            </w:r>
            <w:r>
              <w:rPr>
                <w:rFonts w:ascii="Times New Roman" w:hAnsi="Times New Roman"/>
                <w:sz w:val="20"/>
                <w:u w:val="single"/>
              </w:rPr>
              <w:t xml:space="preserve">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w:t>
            </w:r>
            <w:r>
              <w:t>((</w:t>
            </w:r>
            <w:r>
              <w:rPr>
                <w:rFonts w:ascii="Times New Roman" w:hAnsi="Times New Roman"/>
                <w:strike/>
                <w:sz w:val="20"/>
              </w:rPr>
              <w:t xml:space="preserve">17</w:t>
            </w:r>
            <w:r>
              <w:t>))</w:t>
            </w:r>
            <w:r>
              <w:rPr>
                <w:rFonts w:ascii="Times New Roman" w:hAnsi="Times New Roman"/>
                <w:sz w:val="20"/>
              </w:rPr>
              <w:t xml:space="preserve"> </w:t>
            </w:r>
            <w:r>
              <w:rPr>
                <w:rFonts w:ascii="Times New Roman" w:hAnsi="Times New Roman"/>
                <w:sz w:val="20"/>
                <w:u w:val="single"/>
              </w:rPr>
              <w:t xml:space="preserve">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w:t>
            </w:r>
            <w:r>
              <w:t>((</w:t>
            </w:r>
            <w:r>
              <w:rPr>
                <w:rFonts w:ascii="Times New Roman" w:hAnsi="Times New Roman"/>
                <w:strike/>
                <w:sz w:val="20"/>
              </w:rPr>
              <w:t xml:space="preserve">17</w:t>
            </w:r>
            <w:r>
              <w:t>))</w:t>
            </w:r>
            <w:r>
              <w:rPr>
                <w:rFonts w:ascii="Times New Roman" w:hAnsi="Times New Roman"/>
                <w:sz w:val="20"/>
              </w:rPr>
              <w:t xml:space="preserve"> </w:t>
            </w:r>
            <w:r>
              <w:rPr>
                <w:rFonts w:ascii="Times New Roman" w:hAnsi="Times New Roman"/>
                <w:sz w:val="20"/>
                <w:u w:val="single"/>
              </w:rPr>
              <w:t xml:space="preserve">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w:t>
            </w:r>
            <w:r>
              <w:t>((</w:t>
            </w:r>
            <w:r>
              <w:rPr>
                <w:rFonts w:ascii="Times New Roman" w:hAnsi="Times New Roman"/>
                <w:strike/>
                <w:sz w:val="20"/>
              </w:rPr>
              <w:t xml:space="preserve">17</w:t>
            </w:r>
            <w:r>
              <w:t>))</w:t>
            </w:r>
            <w:r>
              <w:rPr>
                <w:rFonts w:ascii="Times New Roman" w:hAnsi="Times New Roman"/>
                <w:sz w:val="20"/>
              </w:rPr>
              <w:t xml:space="preserve"> </w:t>
            </w:r>
            <w:r>
              <w:rPr>
                <w:rFonts w:ascii="Times New Roman" w:hAnsi="Times New Roman"/>
                <w:sz w:val="20"/>
                <w:u w:val="single"/>
              </w:rPr>
              <w:t xml:space="preserve">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2018 c 82 s 4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t xml:space="preserve">(c) Attendance at up to ten hours of counseling and/or up to twenty hours of positive youth development,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w:t>
      </w:r>
      <w:r>
        <w:t>((</w:t>
      </w:r>
      <w:r>
        <w:rPr>
          <w:strike/>
        </w:rPr>
        <w:t xml:space="preserve">eighteenth</w:t>
      </w:r>
      <w:r>
        <w:t>))</w:t>
      </w:r>
      <w:r>
        <w:rPr/>
        <w:t xml:space="preserve"> </w:t>
      </w:r>
      <w:r>
        <w:rPr>
          <w:u w:val="single"/>
        </w:rPr>
        <w:t xml:space="preserve">19th</w:t>
      </w:r>
      <w:r>
        <w:rPr/>
        <w:t xml:space="preserve">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w:t>
      </w:r>
      <w:r>
        <w:t>((</w:t>
      </w:r>
      <w:r>
        <w:rPr>
          <w:strike/>
        </w:rPr>
        <w:t xml:space="preserve">eighteen</w:t>
      </w:r>
      <w:r>
        <w:t>))</w:t>
      </w:r>
      <w:r>
        <w:rPr/>
        <w:t xml:space="preserve"> </w:t>
      </w:r>
      <w:r>
        <w:rPr>
          <w:u w:val="single"/>
        </w:rPr>
        <w:t xml:space="preserve">19</w:t>
      </w:r>
      <w:r>
        <w:rPr/>
        <w:t xml:space="preserve"> years of age; or</w:t>
      </w:r>
    </w:p>
    <w:p>
      <w:pPr>
        <w:spacing w:before="0" w:after="0" w:line="408" w:lineRule="exact"/>
        <w:ind w:left="0" w:right="0" w:firstLine="576"/>
        <w:jc w:val="left"/>
      </w:pPr>
      <w:r>
        <w:rPr/>
        <w:t xml:space="preserve">(ii) In superior court or the appropriate court of limited jurisdiction if the divertee is </w:t>
      </w:r>
      <w:r>
        <w:t>((</w:t>
      </w:r>
      <w:r>
        <w:rPr>
          <w:strike/>
        </w:rPr>
        <w:t xml:space="preserve">eighteen</w:t>
      </w:r>
      <w:r>
        <w:t>))</w:t>
      </w:r>
      <w:r>
        <w:rPr/>
        <w:t xml:space="preserve"> </w:t>
      </w:r>
      <w:r>
        <w:rPr>
          <w:u w:val="single"/>
        </w:rPr>
        <w:t xml:space="preserve">19</w:t>
      </w:r>
      <w:r>
        <w:rPr/>
        <w:t xml:space="preserve">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w:t>
      </w:r>
      <w:r>
        <w:t>((</w:t>
      </w:r>
      <w:r>
        <w:rPr>
          <w:strike/>
        </w:rPr>
        <w:t xml:space="preserve">eighteenth</w:t>
      </w:r>
      <w:r>
        <w:t>))</w:t>
      </w:r>
      <w:r>
        <w:rPr/>
        <w:t xml:space="preserve"> </w:t>
      </w:r>
      <w:r>
        <w:rPr>
          <w:u w:val="single"/>
        </w:rPr>
        <w:t xml:space="preserve">19th</w:t>
      </w:r>
      <w:r>
        <w:rPr/>
        <w:t xml:space="preserve"> birthday and which includes a period extending beyond the divertee's </w:t>
      </w:r>
      <w:r>
        <w:t>((</w:t>
      </w:r>
      <w:r>
        <w:rPr>
          <w:strike/>
        </w:rPr>
        <w:t xml:space="preserve">eighteenth</w:t>
      </w:r>
      <w:r>
        <w:t>))</w:t>
      </w:r>
      <w:r>
        <w:rPr/>
        <w:t xml:space="preserve"> </w:t>
      </w:r>
      <w:r>
        <w:rPr>
          <w:u w:val="single"/>
        </w:rPr>
        <w:t xml:space="preserve">19th</w:t>
      </w:r>
      <w:r>
        <w:rPr/>
        <w:t xml:space="preserve">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2018 c 82 s 4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t xml:space="preserve">(c) Attendance at up to ten hours of counseling and/or up to twenty hours of positive youth development,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w:t>
      </w:r>
      <w:r>
        <w:t>((</w:t>
      </w:r>
      <w:r>
        <w:rPr>
          <w:strike/>
        </w:rPr>
        <w:t xml:space="preserve">eighteenth</w:t>
      </w:r>
      <w:r>
        <w:t>))</w:t>
      </w:r>
      <w:r>
        <w:rPr/>
        <w:t xml:space="preserve"> </w:t>
      </w:r>
      <w:r>
        <w:rPr>
          <w:u w:val="single"/>
        </w:rPr>
        <w:t xml:space="preserve">20th</w:t>
      </w:r>
      <w:r>
        <w:rPr/>
        <w:t xml:space="preserve">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w:t>
      </w:r>
      <w:r>
        <w:t>((</w:t>
      </w:r>
      <w:r>
        <w:rPr>
          <w:strike/>
        </w:rPr>
        <w:t xml:space="preserve">eighteen</w:t>
      </w:r>
      <w:r>
        <w:t>))</w:t>
      </w:r>
      <w:r>
        <w:rPr/>
        <w:t xml:space="preserve"> </w:t>
      </w:r>
      <w:r>
        <w:rPr>
          <w:u w:val="single"/>
        </w:rPr>
        <w:t xml:space="preserve">20</w:t>
      </w:r>
      <w:r>
        <w:rPr/>
        <w:t xml:space="preserve"> years of age; or</w:t>
      </w:r>
    </w:p>
    <w:p>
      <w:pPr>
        <w:spacing w:before="0" w:after="0" w:line="408" w:lineRule="exact"/>
        <w:ind w:left="0" w:right="0" w:firstLine="576"/>
        <w:jc w:val="left"/>
      </w:pPr>
      <w:r>
        <w:rPr/>
        <w:t xml:space="preserve">(ii) In superior court or the appropriate court of limited jurisdiction if the divertee is </w:t>
      </w:r>
      <w:r>
        <w:t>((</w:t>
      </w:r>
      <w:r>
        <w:rPr>
          <w:strike/>
        </w:rPr>
        <w:t xml:space="preserve">eighteen</w:t>
      </w:r>
      <w:r>
        <w:t>))</w:t>
      </w:r>
      <w:r>
        <w:rPr/>
        <w:t xml:space="preserve"> </w:t>
      </w:r>
      <w:r>
        <w:rPr>
          <w:u w:val="single"/>
        </w:rPr>
        <w:t xml:space="preserve">20</w:t>
      </w:r>
      <w:r>
        <w:rPr/>
        <w:t xml:space="preserve">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w:t>
      </w:r>
      <w:r>
        <w:t>((</w:t>
      </w:r>
      <w:r>
        <w:rPr>
          <w:strike/>
        </w:rPr>
        <w:t xml:space="preserve">eighteenth</w:t>
      </w:r>
      <w:r>
        <w:t>))</w:t>
      </w:r>
      <w:r>
        <w:rPr/>
        <w:t xml:space="preserve"> </w:t>
      </w:r>
      <w:r>
        <w:rPr>
          <w:u w:val="single"/>
        </w:rPr>
        <w:t xml:space="preserve">20th</w:t>
      </w:r>
      <w:r>
        <w:rPr/>
        <w:t xml:space="preserve"> birthday and which includes a period extending beyond the divertee's </w:t>
      </w:r>
      <w:r>
        <w:t>((</w:t>
      </w:r>
      <w:r>
        <w:rPr>
          <w:strike/>
        </w:rPr>
        <w:t xml:space="preserve">eighteenth</w:t>
      </w:r>
      <w:r>
        <w:t>))</w:t>
      </w:r>
      <w:r>
        <w:rPr/>
        <w:t xml:space="preserve"> </w:t>
      </w:r>
      <w:r>
        <w:rPr>
          <w:u w:val="single"/>
        </w:rPr>
        <w:t xml:space="preserve">20th</w:t>
      </w:r>
      <w:r>
        <w:rPr/>
        <w:t xml:space="preserve">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9.41.040(2)(a)(vi),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w:t>
      </w:r>
      <w:r>
        <w:t>((</w:t>
      </w:r>
      <w:r>
        <w:rPr>
          <w:strike/>
        </w:rPr>
        <w:t xml:space="preserve">or seventeen</w:t>
      </w:r>
      <w:r>
        <w:t>))</w:t>
      </w:r>
      <w:r>
        <w:rPr/>
        <w:t xml:space="preserve"> </w:t>
      </w:r>
      <w:r>
        <w:rPr>
          <w:u w:val="single"/>
        </w:rPr>
        <w:t xml:space="preserve">through 18</w:t>
      </w:r>
      <w:r>
        <w:rPr/>
        <w:t xml:space="preserve">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w:t>
      </w:r>
      <w:r>
        <w:t>((</w:t>
      </w:r>
      <w:r>
        <w:rPr>
          <w:strike/>
        </w:rPr>
        <w:t xml:space="preserve">or seventeen</w:t>
      </w:r>
      <w:r>
        <w:t>))</w:t>
      </w:r>
      <w:r>
        <w:rPr/>
        <w:t xml:space="preserve"> </w:t>
      </w:r>
      <w:r>
        <w:rPr>
          <w:u w:val="single"/>
        </w:rPr>
        <w:t xml:space="preserve">through 18</w:t>
      </w:r>
      <w:r>
        <w:rPr/>
        <w:t xml:space="preserve">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9.41.040(2)(a)(vi),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w:t>
      </w:r>
      <w:r>
        <w:t>((</w:t>
      </w:r>
      <w:r>
        <w:rPr>
          <w:strike/>
        </w:rPr>
        <w:t xml:space="preserve">or seventeen</w:t>
      </w:r>
      <w:r>
        <w:t>))</w:t>
      </w:r>
      <w:r>
        <w:rPr/>
        <w:t xml:space="preserve"> </w:t>
      </w:r>
      <w:r>
        <w:rPr>
          <w:u w:val="single"/>
        </w:rPr>
        <w:t xml:space="preserve">through 19</w:t>
      </w:r>
      <w:r>
        <w:rPr/>
        <w:t xml:space="preserve">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w:t>
      </w:r>
      <w:r>
        <w:t>((</w:t>
      </w:r>
      <w:r>
        <w:rPr>
          <w:strike/>
        </w:rPr>
        <w:t xml:space="preserve">or seventeen</w:t>
      </w:r>
      <w:r>
        <w:t>))</w:t>
      </w:r>
      <w:r>
        <w:rPr/>
        <w:t xml:space="preserve"> </w:t>
      </w:r>
      <w:r>
        <w:rPr>
          <w:u w:val="single"/>
        </w:rPr>
        <w:t xml:space="preserve">through 19</w:t>
      </w:r>
      <w:r>
        <w:rPr/>
        <w:t xml:space="preserve">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2019 c 322 s 3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rehabilitation facility beyond the juvenile offender's twenty-first birthday </w:t>
      </w:r>
      <w:r>
        <w:rPr>
          <w:u w:val="single"/>
        </w:rPr>
        <w:t xml:space="preserve">for an adjudicated offense committed under the age of 18, or beyond the juvenile offender's 22nd birthday for an adjudicated offense committed while 18 years of age</w:t>
      </w:r>
      <w:r>
        <w:rPr/>
        <w:t xml:space="preserve">.</w:t>
      </w:r>
    </w:p>
    <w:p>
      <w:pPr>
        <w:spacing w:before="0" w:after="0" w:line="408" w:lineRule="exact"/>
        <w:ind w:left="0" w:right="0" w:firstLine="576"/>
        <w:jc w:val="left"/>
      </w:pPr>
      <w:r>
        <w:rPr/>
        <w:t xml:space="preserve">(2) A juvenile offender adjudicated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rehabilitation facility up to the juvenile offender's twenty-fifth birthday, but not beyond.</w:t>
      </w:r>
    </w:p>
    <w:p>
      <w:pPr>
        <w:spacing w:before="0" w:after="0" w:line="408" w:lineRule="exact"/>
        <w:ind w:left="0" w:right="0" w:firstLine="576"/>
        <w:jc w:val="left"/>
      </w:pPr>
      <w:r>
        <w:rPr/>
        <w:t xml:space="preserve">(3) </w:t>
      </w:r>
      <w:r>
        <w:t>((</w:t>
      </w:r>
      <w:r>
        <w:rPr>
          <w:strike/>
        </w:rPr>
        <w:t xml:space="preserve">A juvenile may be</w:t>
      </w:r>
      <w:r>
        <w:t>))</w:t>
      </w:r>
      <w:r>
        <w:rPr/>
        <w:t xml:space="preserve"> </w:t>
      </w:r>
      <w:r>
        <w:rPr>
          <w:u w:val="single"/>
        </w:rPr>
        <w:t xml:space="preserve">Once proceedings have been filed</w:t>
      </w:r>
      <w:r>
        <w:rPr/>
        <w:t xml:space="preserve"> under the jurisdiction of the juvenile court</w:t>
      </w:r>
      <w:r>
        <w:rPr>
          <w:u w:val="single"/>
        </w:rPr>
        <w:t xml:space="preserve">, the proceedings against the juvenile offender shall remain under the jurisdiction of the juvenile court</w:t>
      </w:r>
      <w:r>
        <w:rPr/>
        <w:t xml:space="preserve"> or the authority of the department of children, youth, and families </w:t>
      </w:r>
      <w:r>
        <w:t>((</w:t>
      </w:r>
      <w:r>
        <w:rPr>
          <w:strike/>
        </w:rPr>
        <w:t xml:space="preserve">beyond the juvenile's eighteenth birthday only if prior to the juvenile's eighteenth birthday:</w:t>
      </w:r>
    </w:p>
    <w:p>
      <w:pPr>
        <w:spacing w:before="0" w:after="0" w:line="408" w:lineRule="exact"/>
        <w:ind w:left="0" w:right="0" w:firstLine="576"/>
        <w:jc w:val="left"/>
      </w:pPr>
      <w:r>
        <w:rPr>
          <w:strike/>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strik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strike/>
        </w:rPr>
        <w:t xml:space="preserve">(ii) If the order fails to specify a specific date, it shall be presumed that jurisdiction is extended to age twenty-one; and</w:t>
      </w:r>
    </w:p>
    <w:p>
      <w:pPr>
        <w:spacing w:before="0" w:after="0" w:line="408" w:lineRule="exact"/>
        <w:ind w:left="0" w:right="0" w:firstLine="576"/>
        <w:jc w:val="left"/>
      </w:pPr>
      <w:r>
        <w:rPr>
          <w:strike/>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(b)</w:t>
      </w:r>
      <w:r>
        <w:t>))</w:t>
      </w:r>
      <w:r>
        <w:rPr/>
        <w:t xml:space="preserve"> </w:t>
      </w:r>
      <w:r>
        <w:rPr>
          <w:u w:val="single"/>
        </w:rPr>
        <w:t xml:space="preserve">until the judgment expires or the juvenile offender reaches the maximum age of commitment under subsections (1) and (2) of this section, whichever is sooner, unless the juvenile court declines jurisdiction under RCW 13.40.110. The juvenile court may extend its jurisdiction beyond the juvenile offender's maximum date of commitment only if:</w:t>
      </w:r>
    </w:p>
    <w:p>
      <w:pPr>
        <w:spacing w:before="0" w:after="0" w:line="408" w:lineRule="exact"/>
        <w:ind w:left="0" w:right="0" w:firstLine="576"/>
        <w:jc w:val="left"/>
      </w:pPr>
      <w:r>
        <w:rPr>
          <w:u w:val="single"/>
        </w:rPr>
        <w:t xml:space="preserve">(a)</w:t>
      </w:r>
      <w:r>
        <w:rPr/>
        <w:t xml:space="preserve">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Disposition has been held and an automatic extension is necessary to allow for the execution and enforcement of the </w:t>
      </w:r>
      <w:r>
        <w:rPr>
          <w:u w:val="single"/>
        </w:rPr>
        <w:t xml:space="preserve">noncommitment terms of the</w:t>
      </w:r>
      <w:r>
        <w:rPr/>
        <w:t xml:space="preserve"> court's order of disposition</w:t>
      </w:r>
      <w:r>
        <w:t>((</w:t>
      </w:r>
      <w:r>
        <w:rPr>
          <w:strike/>
        </w:rPr>
        <w:t xml:space="preserve">, subject to the following:</w:t>
      </w:r>
    </w:p>
    <w:p>
      <w:pPr>
        <w:spacing w:before="0" w:after="0" w:line="408" w:lineRule="exact"/>
        <w:ind w:left="0" w:right="0" w:firstLine="576"/>
        <w:jc w:val="left"/>
      </w:pPr>
      <w:r>
        <w:rPr>
          <w:strike/>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strike/>
        </w:rPr>
        <w:t xml:space="preserve">(ii) If an order of disposition imposes a commitment to the department for a juvenile offender adjudicated of an </w:t>
      </w:r>
      <w:r>
        <w:rPr>
          <w:strike/>
        </w:rPr>
        <w:t xml:space="preserve">A++</w:t>
      </w:r>
      <w:r>
        <w:rPr>
          <w:strike/>
        </w:rPr>
        <w:t xml:space="preserve"> juvenile disposition category offense listed in RCW 13.40.0357, or</w:t>
      </w:r>
      <w:r>
        <w:t>))</w:t>
      </w:r>
      <w:r>
        <w:rPr>
          <w:u w:val="single"/>
        </w:rPr>
        <w:t xml:space="preserve">;</w:t>
      </w:r>
    </w:p>
    <w:p>
      <w:pPr>
        <w:spacing w:before="0" w:after="0" w:line="408" w:lineRule="exact"/>
        <w:ind w:left="0" w:right="0" w:firstLine="576"/>
        <w:jc w:val="left"/>
      </w:pPr>
      <w:r>
        <w:rPr>
          <w:u w:val="single"/>
        </w:rPr>
        <w:t xml:space="preserve">(c) The juvenile offender is</w:t>
      </w:r>
      <w:r>
        <w:rPr/>
        <w:t xml:space="preserve"> found to be armed with a firearm and sentenced to an additional twelve months pursuant to RCW 13.40.193(3)(b), </w:t>
      </w:r>
      <w:r>
        <w:t>((</w:t>
      </w:r>
      <w:r>
        <w:rPr>
          <w:strike/>
        </w:rPr>
        <w:t xml:space="preserve">then</w:t>
      </w:r>
      <w:r>
        <w:t>))</w:t>
      </w:r>
      <w:r>
        <w:rPr/>
        <w:t xml:space="preserve"> </w:t>
      </w:r>
      <w:r>
        <w:rPr>
          <w:u w:val="single"/>
        </w:rPr>
        <w:t xml:space="preserve">in which case</w:t>
      </w:r>
      <w:r>
        <w:rPr/>
        <w:t xml:space="preserve">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t>
      </w:r>
      <w:r>
        <w:t>((</w:t>
      </w:r>
      <w:r>
        <w:rPr>
          <w:strike/>
        </w:rPr>
        <w:t xml:space="preserve">While</w:t>
      </w:r>
      <w:r>
        <w:t>))</w:t>
      </w:r>
      <w:r>
        <w:rPr/>
        <w:t xml:space="preserve"> </w:t>
      </w:r>
      <w:r>
        <w:rPr>
          <w:u w:val="single"/>
        </w:rPr>
        <w:t xml:space="preserve">The juvenile turns 19 years of age while</w:t>
      </w:r>
      <w:r>
        <w:rPr/>
        <w:t xml:space="preserve"> proceedings are pending in a case in which jurisdiction is vested in the adult criminal court pursuant to RCW 13.04.030</w:t>
      </w:r>
      <w:r>
        <w:t>((</w:t>
      </w:r>
      <w:r>
        <w:rPr>
          <w:strike/>
        </w:rPr>
        <w:t xml:space="preserve">, the juvenile turns eighteen years of age</w:t>
      </w:r>
      <w:r>
        <w:t>))</w:t>
      </w:r>
      <w:r>
        <w:rPr/>
        <w:t xml:space="preserve"> and is subsequently found not guilty of the charge for which he or she was transferred, or is convicted in the adult criminal court of an offense that is not also an offense listed in RCW 13.04.030(1)(e)(v), and an automatic extension is necessary to impose the juvenile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w:t>
      </w:r>
      <w:r>
        <w:t>((</w:t>
      </w:r>
      <w:r>
        <w:rPr>
          <w:strike/>
        </w:rPr>
        <w:t xml:space="preserve">twenty-first birthday</w:t>
      </w:r>
      <w:r>
        <w:t>))</w:t>
      </w:r>
      <w:r>
        <w:rPr/>
        <w:t xml:space="preserve"> </w:t>
      </w:r>
      <w:r>
        <w:rPr>
          <w:u w:val="single"/>
        </w:rPr>
        <w:t xml:space="preserve">maximum age of commitment</w:t>
      </w:r>
      <w:r>
        <w:rPr/>
        <w:t xml:space="preserve">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w:t>
      </w:r>
      <w:r>
        <w:t>((</w:t>
      </w:r>
      <w:r>
        <w:rPr>
          <w:strike/>
        </w:rPr>
        <w:t xml:space="preserve">twenty-first birthday</w:t>
      </w:r>
      <w:r>
        <w:t>))</w:t>
      </w:r>
      <w:r>
        <w:rPr/>
        <w:t xml:space="preserve"> </w:t>
      </w:r>
      <w:r>
        <w:rPr>
          <w:u w:val="single"/>
        </w:rPr>
        <w:t xml:space="preserve">maximum age of commitment</w:t>
      </w:r>
      <w:r>
        <w:rPr/>
        <w:t xml:space="preserve">.</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w:t>
      </w:r>
      <w:r>
        <w:t>((</w:t>
      </w:r>
      <w:r>
        <w:rPr>
          <w:strike/>
        </w:rPr>
        <w:t xml:space="preserve">eighteen</w:t>
      </w:r>
      <w:r>
        <w:t>))</w:t>
      </w:r>
      <w:r>
        <w:rPr/>
        <w:t xml:space="preserve"> </w:t>
      </w:r>
      <w:r>
        <w:rPr>
          <w:u w:val="single"/>
        </w:rPr>
        <w:t xml:space="preserve">19</w:t>
      </w:r>
      <w:r>
        <w:rPr/>
        <w:t xml:space="preserv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2019 c 322 s 3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rehabilitation facility beyond the juvenile offender's twenty-first birthday </w:t>
      </w:r>
      <w:r>
        <w:rPr>
          <w:u w:val="single"/>
        </w:rPr>
        <w:t xml:space="preserve">for an adjudicated offense committed under the age of 18, beyond the juvenile offender's 22nd birthday for an adjudicated offense committed while 18 years of age, or beyond the juvenile offender's 23rd birthday for an adjudicated offense committed while 19 years of age</w:t>
      </w:r>
      <w:r>
        <w:rPr/>
        <w:t xml:space="preserve">.</w:t>
      </w:r>
    </w:p>
    <w:p>
      <w:pPr>
        <w:spacing w:before="0" w:after="0" w:line="408" w:lineRule="exact"/>
        <w:ind w:left="0" w:right="0" w:firstLine="576"/>
        <w:jc w:val="left"/>
      </w:pPr>
      <w:r>
        <w:rPr/>
        <w:t xml:space="preserve">(2) A juvenile offender adjudicated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rehabilitation facility up to the juvenile offender's twenty-fifth birthday, but not beyond.</w:t>
      </w:r>
    </w:p>
    <w:p>
      <w:pPr>
        <w:spacing w:before="0" w:after="0" w:line="408" w:lineRule="exact"/>
        <w:ind w:left="0" w:right="0" w:firstLine="576"/>
        <w:jc w:val="left"/>
      </w:pPr>
      <w:r>
        <w:rPr/>
        <w:t xml:space="preserve">(3) </w:t>
      </w:r>
      <w:r>
        <w:t>((</w:t>
      </w:r>
      <w:r>
        <w:rPr>
          <w:strike/>
        </w:rPr>
        <w:t xml:space="preserve">A juvenile may be</w:t>
      </w:r>
      <w:r>
        <w:t>))</w:t>
      </w:r>
      <w:r>
        <w:rPr/>
        <w:t xml:space="preserve"> </w:t>
      </w:r>
      <w:r>
        <w:rPr>
          <w:u w:val="single"/>
        </w:rPr>
        <w:t xml:space="preserve">Once proceedings have been filed</w:t>
      </w:r>
      <w:r>
        <w:rPr/>
        <w:t xml:space="preserve"> under the jurisdiction of the juvenile court</w:t>
      </w:r>
      <w:r>
        <w:rPr>
          <w:u w:val="single"/>
        </w:rPr>
        <w:t xml:space="preserve">, the proceedings against the juvenile offender shall remain under the jurisdiction of the juvenile court</w:t>
      </w:r>
      <w:r>
        <w:rPr/>
        <w:t xml:space="preserve"> or the authority of the department of children, youth, and families </w:t>
      </w:r>
      <w:r>
        <w:t>((</w:t>
      </w:r>
      <w:r>
        <w:rPr>
          <w:strike/>
        </w:rPr>
        <w:t xml:space="preserve">beyond the juvenile's eighteenth birthday only if prior to the juvenile's eighteenth birthday:</w:t>
      </w:r>
    </w:p>
    <w:p>
      <w:pPr>
        <w:spacing w:before="0" w:after="0" w:line="408" w:lineRule="exact"/>
        <w:ind w:left="0" w:right="0" w:firstLine="576"/>
        <w:jc w:val="left"/>
      </w:pPr>
      <w:r>
        <w:rPr>
          <w:strike/>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strik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strike/>
        </w:rPr>
        <w:t xml:space="preserve">(ii) If the order fails to specify a specific date, it shall be presumed that jurisdiction is extended to age twenty-one; and</w:t>
      </w:r>
    </w:p>
    <w:p>
      <w:pPr>
        <w:spacing w:before="0" w:after="0" w:line="408" w:lineRule="exact"/>
        <w:ind w:left="0" w:right="0" w:firstLine="576"/>
        <w:jc w:val="left"/>
      </w:pPr>
      <w:r>
        <w:rPr>
          <w:strike/>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(b)</w:t>
      </w:r>
      <w:r>
        <w:t>))</w:t>
      </w:r>
      <w:r>
        <w:rPr/>
        <w:t xml:space="preserve"> </w:t>
      </w:r>
      <w:r>
        <w:rPr>
          <w:u w:val="single"/>
        </w:rPr>
        <w:t xml:space="preserve">until the judgment expires or the juvenile offender reaches the maximum age of commitment under subsections (1) and (2) of this section, whichever is sooner, unless the juvenile court declines jurisdiction under RCW 13.40.110. The juvenile court may extend its jurisdiction beyond the juvenile offender's maximum date of commitment only if:</w:t>
      </w:r>
    </w:p>
    <w:p>
      <w:pPr>
        <w:spacing w:before="0" w:after="0" w:line="408" w:lineRule="exact"/>
        <w:ind w:left="0" w:right="0" w:firstLine="576"/>
        <w:jc w:val="left"/>
      </w:pPr>
      <w:r>
        <w:rPr>
          <w:u w:val="single"/>
        </w:rPr>
        <w:t xml:space="preserve">(a)</w:t>
      </w:r>
      <w:r>
        <w:rPr/>
        <w:t xml:space="preserve">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Disposition has been held and an automatic extension is necessary to allow for the execution and enforcement of the </w:t>
      </w:r>
      <w:r>
        <w:rPr>
          <w:u w:val="single"/>
        </w:rPr>
        <w:t xml:space="preserve">noncommitment terms of the</w:t>
      </w:r>
      <w:r>
        <w:rPr/>
        <w:t xml:space="preserve"> court's order of disposition</w:t>
      </w:r>
      <w:r>
        <w:t>((</w:t>
      </w:r>
      <w:r>
        <w:rPr>
          <w:strike/>
        </w:rPr>
        <w:t xml:space="preserve">, subject to the following:</w:t>
      </w:r>
    </w:p>
    <w:p>
      <w:pPr>
        <w:spacing w:before="0" w:after="0" w:line="408" w:lineRule="exact"/>
        <w:ind w:left="0" w:right="0" w:firstLine="576"/>
        <w:jc w:val="left"/>
      </w:pPr>
      <w:r>
        <w:rPr>
          <w:strike/>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strike/>
        </w:rPr>
        <w:t xml:space="preserve">(ii) If an order of disposition imposes a commitment to the department for a juvenile offender adjudicated of an </w:t>
      </w:r>
      <w:r>
        <w:rPr>
          <w:strike/>
        </w:rPr>
        <w:t xml:space="preserve">A++</w:t>
      </w:r>
      <w:r>
        <w:rPr>
          <w:strike/>
        </w:rPr>
        <w:t xml:space="preserve"> juvenile disposition category offense listed in RCW 13.40.0357, or</w:t>
      </w:r>
      <w:r>
        <w:t>))</w:t>
      </w:r>
      <w:r>
        <w:rPr>
          <w:u w:val="single"/>
        </w:rPr>
        <w:t xml:space="preserve">;</w:t>
      </w:r>
    </w:p>
    <w:p>
      <w:pPr>
        <w:spacing w:before="0" w:after="0" w:line="408" w:lineRule="exact"/>
        <w:ind w:left="0" w:right="0" w:firstLine="576"/>
        <w:jc w:val="left"/>
      </w:pPr>
      <w:r>
        <w:rPr>
          <w:u w:val="single"/>
        </w:rPr>
        <w:t xml:space="preserve">(c) The juvenile offender is</w:t>
      </w:r>
      <w:r>
        <w:rPr/>
        <w:t xml:space="preserve"> found to be armed with a firearm and sentenced to an additional twelve months pursuant to RCW 13.40.193(3)(b), </w:t>
      </w:r>
      <w:r>
        <w:t>((</w:t>
      </w:r>
      <w:r>
        <w:rPr>
          <w:strike/>
        </w:rPr>
        <w:t xml:space="preserve">then</w:t>
      </w:r>
      <w:r>
        <w:t>))</w:t>
      </w:r>
      <w:r>
        <w:rPr/>
        <w:t xml:space="preserve"> </w:t>
      </w:r>
      <w:r>
        <w:rPr>
          <w:u w:val="single"/>
        </w:rPr>
        <w:t xml:space="preserve">in which case</w:t>
      </w:r>
      <w:r>
        <w:rPr/>
        <w:t xml:space="preserve">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t>
      </w:r>
      <w:r>
        <w:t>((</w:t>
      </w:r>
      <w:r>
        <w:rPr>
          <w:strike/>
        </w:rPr>
        <w:t xml:space="preserve">While</w:t>
      </w:r>
      <w:r>
        <w:t>))</w:t>
      </w:r>
      <w:r>
        <w:rPr/>
        <w:t xml:space="preserve"> </w:t>
      </w:r>
      <w:r>
        <w:rPr>
          <w:u w:val="single"/>
        </w:rPr>
        <w:t xml:space="preserve">The juvenile turns 20 years of age while</w:t>
      </w:r>
      <w:r>
        <w:rPr/>
        <w:t xml:space="preserve"> proceedings are pending in a case in which jurisdiction is vested in the adult criminal court pursuant to RCW 13.04.030</w:t>
      </w:r>
      <w:r>
        <w:t>((</w:t>
      </w:r>
      <w:r>
        <w:rPr>
          <w:strike/>
        </w:rPr>
        <w:t xml:space="preserve">, the juvenile turns eighteen years of age</w:t>
      </w:r>
      <w:r>
        <w:t>))</w:t>
      </w:r>
      <w:r>
        <w:rPr/>
        <w:t xml:space="preserve"> and is subsequently found not guilty of the charge for which he or she was transferred, or is convicted in the adult criminal court of an offense that is not also an offense listed in RCW 13.04.030(1)(e)(v), and an automatic extension is necessary to impose the juvenile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w:t>
      </w:r>
      <w:r>
        <w:t>((</w:t>
      </w:r>
      <w:r>
        <w:rPr>
          <w:strike/>
        </w:rPr>
        <w:t xml:space="preserve">twenty-first birthday</w:t>
      </w:r>
      <w:r>
        <w:t>))</w:t>
      </w:r>
      <w:r>
        <w:rPr/>
        <w:t xml:space="preserve"> </w:t>
      </w:r>
      <w:r>
        <w:rPr>
          <w:u w:val="single"/>
        </w:rPr>
        <w:t xml:space="preserve">maximum age of commitment</w:t>
      </w:r>
      <w:r>
        <w:rPr/>
        <w:t xml:space="preserve">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w:t>
      </w:r>
      <w:r>
        <w:t>((</w:t>
      </w:r>
      <w:r>
        <w:rPr>
          <w:strike/>
        </w:rPr>
        <w:t xml:space="preserve">twenty-first birthday</w:t>
      </w:r>
      <w:r>
        <w:t>))</w:t>
      </w:r>
      <w:r>
        <w:rPr/>
        <w:t xml:space="preserve"> </w:t>
      </w:r>
      <w:r>
        <w:rPr>
          <w:u w:val="single"/>
        </w:rPr>
        <w:t xml:space="preserve">maximum age of commitment</w:t>
      </w:r>
      <w:r>
        <w:rPr/>
        <w:t xml:space="preserve">.</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w:t>
      </w:r>
      <w:r>
        <w:t>((</w:t>
      </w:r>
      <w:r>
        <w:rPr>
          <w:strike/>
        </w:rPr>
        <w:t xml:space="preserve">eighteen</w:t>
      </w:r>
      <w:r>
        <w:t>))</w:t>
      </w:r>
      <w:r>
        <w:rPr/>
        <w:t xml:space="preserve"> </w:t>
      </w:r>
      <w:r>
        <w:rPr>
          <w:u w:val="single"/>
        </w:rPr>
        <w:t xml:space="preserve">20</w:t>
      </w:r>
      <w:r>
        <w:rPr/>
        <w:t xml:space="preserv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511</w:t>
      </w:r>
      <w:r>
        <w:rPr/>
        <w:t xml:space="preserve"> and 2019 c 461 s 3 are each amended to read as follows:</w:t>
      </w:r>
    </w:p>
    <w:p>
      <w:pPr>
        <w:spacing w:before="0" w:after="0" w:line="408" w:lineRule="exact"/>
        <w:ind w:left="0" w:right="0" w:firstLine="576"/>
        <w:jc w:val="left"/>
      </w:pPr>
      <w:r>
        <w:rPr/>
        <w:t xml:space="preserve">(1) As of July 28, 2019, the block grant oversight committee must implement a stop loss policy when allocating funding under RCW 13.40.510. The stop loss policy must limit the loss in funding for any juvenile court from one year to the next. The block grant oversight committee must establish a minimum base level of funding for juvenile courts with lower numbers of at-risk youth ten years of age and over but under </w:t>
      </w:r>
      <w:r>
        <w:t>((</w:t>
      </w:r>
      <w:r>
        <w:rPr>
          <w:strike/>
        </w:rPr>
        <w:t xml:space="preserve">eighteen</w:t>
      </w:r>
      <w:r>
        <w:t>))</w:t>
      </w:r>
      <w:r>
        <w:rPr/>
        <w:t xml:space="preserve"> </w:t>
      </w:r>
      <w:r>
        <w:rPr>
          <w:u w:val="single"/>
        </w:rPr>
        <w:t xml:space="preserve">19</w:t>
      </w:r>
      <w:r>
        <w:rPr/>
        <w:t xml:space="preserve"> years of age. The department of children, youth, and families must report, in compliance with RCW 43.01.036, to the legislature by December 1, 2019, about how funding is used for referred youth and the impact of that use on overall use of funding.</w:t>
      </w:r>
    </w:p>
    <w:p>
      <w:pPr>
        <w:spacing w:before="0" w:after="0" w:line="408" w:lineRule="exact"/>
        <w:ind w:left="0" w:right="0" w:firstLine="576"/>
        <w:jc w:val="left"/>
      </w:pPr>
      <w:r>
        <w:rPr/>
        <w:t xml:space="preserve">(2) For purposes of this section, "block grant oversight committee" means a committee established by the juvenile rehabilitation division of the department of children, youth, and families and the juvenile courts that provides block grant funding formula oversight with equal representation from the juvenile rehabilitation division of the department of children, youth, and families and the juvenile courts. The purpose of this committee is to assess the ongoing implementation of the block grant funding formula, utilizing data-driven decision making and the most current available information. The committee is cochaired by the juvenile rehabilitation division of the department of children, youth, and families and the juvenile courts, who have the ability to change members of the committee as needed to achieve its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511</w:t>
      </w:r>
      <w:r>
        <w:rPr/>
        <w:t xml:space="preserve"> and 2019 c 461 s 3 are each amended to read as follows:</w:t>
      </w:r>
    </w:p>
    <w:p>
      <w:pPr>
        <w:spacing w:before="0" w:after="0" w:line="408" w:lineRule="exact"/>
        <w:ind w:left="0" w:right="0" w:firstLine="576"/>
        <w:jc w:val="left"/>
      </w:pPr>
      <w:r>
        <w:rPr/>
        <w:t xml:space="preserve">(1) As of July 28, 2019, the block grant oversight committee must implement a stop loss policy when allocating funding under RCW 13.40.510. The stop loss policy must limit the loss in funding for any juvenile court from one year to the next. The block grant oversight committee must establish a minimum base level of funding for juvenile courts with lower numbers of at-risk youth ten years of age and over but under </w:t>
      </w:r>
      <w:r>
        <w:t>((</w:t>
      </w:r>
      <w:r>
        <w:rPr>
          <w:strike/>
        </w:rPr>
        <w:t xml:space="preserve">eighteen</w:t>
      </w:r>
      <w:r>
        <w:t>))</w:t>
      </w:r>
      <w:r>
        <w:rPr/>
        <w:t xml:space="preserve"> </w:t>
      </w:r>
      <w:r>
        <w:rPr>
          <w:u w:val="single"/>
        </w:rPr>
        <w:t xml:space="preserve">20</w:t>
      </w:r>
      <w:r>
        <w:rPr/>
        <w:t xml:space="preserve"> years of age. The department of children, youth, and families must report, in compliance with RCW 43.01.036, to the legislature by December 1, 2019, about how funding is used for referred youth and the impact of that use on overall use of funding.</w:t>
      </w:r>
    </w:p>
    <w:p>
      <w:pPr>
        <w:spacing w:before="0" w:after="0" w:line="408" w:lineRule="exact"/>
        <w:ind w:left="0" w:right="0" w:firstLine="576"/>
        <w:jc w:val="left"/>
      </w:pPr>
      <w:r>
        <w:rPr/>
        <w:t xml:space="preserve">(2) For purposes of this section, "block grant oversight committee" means a committee established by the juvenile rehabilitation division of the department of children, youth, and families and the juvenile courts that provides block grant funding formula oversight with equal representation from the juvenile rehabilitation division of the department of children, youth, and families and the juvenile courts. The purpose of this committee is to assess the ongoing implementation of the block grant funding formula, utilizing data-driven decision making and the most current available information. The committee is cochaired by the juvenile rehabilitation division of the department of children, youth, and families and the juvenile courts, who have the ability to change members of the committee as needed to achieve its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18</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19</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18</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13</w:t>
      </w:r>
      <w:r>
        <w:rPr/>
        <w:t xml:space="preserve"> through </w:t>
      </w:r>
      <w:r>
        <w:t>((</w:t>
      </w:r>
      <w:r>
        <w:rPr>
          <w:strike/>
        </w:rPr>
        <w:t xml:space="preserve">seventeen</w:t>
      </w:r>
      <w:r>
        <w:t>))</w:t>
      </w:r>
      <w:r>
        <w:rPr/>
        <w:t xml:space="preserve"> </w:t>
      </w:r>
      <w:r>
        <w:rPr>
          <w:u w:val="single"/>
        </w:rPr>
        <w:t xml:space="preserve">19</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county may choose to increase the age of juvenile court jurisdiction within the county to 18 or 19 years of age sooner than the dates required in this act, and in doing so may choose to increase the age in a phased manner, provided that the authorities within the county agree that capacity exists within the county to provide for adequate safety, rehabilitative programming, and efficient court processing for the affected persons during the transition period. Each county and juvenile court shall cooperate with the office of juvenile justice within the department of children, youth, and families in its role as statewide monitor of the transition under section 24 of this act so that the office of juvenile justice may provide accurate information to the governor and the legislature.</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office of juvenile justice within the department shall monitor the implementation of this act across the state and report on the progress of counties and their readiness to move forward to full implementation while providing for adequate safety, rehabilitative programming, and efficient court processing for affected persons. The office of juvenile justice shall deliver a report to the governor and relevant committees of the legislature annually by December 1st regarding the implementation of this act, and may make recommendations if appropriate.</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health impacts, racial disproportionality, recidivism, state expenditures, and youth rehabilitation, to the extent possible, and submit, in compliance with RCW 43.01.036, a preliminary report to the governor and the appropriate committees of the legislature by December 1, 2028, and a final report to the governor and the appropriate committees of the legislature by December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office of juvenile justice within the department, in consultation with the department of corrections, Washington association of sheriffs and police chiefs, office of public defense, Washington association of prosecuting attorneys, superior court judges' association, association of juvenile court administrators, Washington state association of counties, minority and justice commission, two different community organizations representing the interests of incarcerated persons, and three different community organizations that offer services to youth that may be involved in the juvenile justice system, shall:</w:t>
      </w:r>
    </w:p>
    <w:p>
      <w:pPr>
        <w:spacing w:before="0" w:after="0" w:line="408" w:lineRule="exact"/>
        <w:ind w:left="0" w:right="0" w:firstLine="576"/>
        <w:jc w:val="left"/>
      </w:pPr>
      <w:r>
        <w:rPr/>
        <w:t xml:space="preserve">(a) Consider the implications, including necessary funding, of expanding juvenile jurisdiction by this act to encompass persons 18 years of age beginning in fiscal year 2023 and 19 years of age beginning in calendar year 2025;</w:t>
      </w:r>
    </w:p>
    <w:p>
      <w:pPr>
        <w:spacing w:before="0" w:after="0" w:line="408" w:lineRule="exact"/>
        <w:ind w:left="0" w:right="0" w:firstLine="576"/>
        <w:jc w:val="left"/>
      </w:pPr>
      <w:r>
        <w:rPr/>
        <w:t xml:space="preserve">(b) On or before December 1, 2022, report to the governor and appropriate committees of the legislature on the status and plan for the expansion, including necessary funding, measures necessary to avoid a negative impact on the state's child protection response, and specific milestones related to operations and policy, including:</w:t>
      </w:r>
    </w:p>
    <w:p>
      <w:pPr>
        <w:spacing w:before="0" w:after="0" w:line="408" w:lineRule="exact"/>
        <w:ind w:left="0" w:right="0" w:firstLine="576"/>
        <w:jc w:val="left"/>
      </w:pPr>
      <w:r>
        <w:rPr/>
        <w:t xml:space="preserve">(i) Identification of and a timeline for structural and systemic changes within the juvenile justice system for the juvenile rehabilitation division, the department for children, youth, and families, the department of corrections, and the juvenile court pursuant to chapter 13.04 RCW;</w:t>
      </w:r>
    </w:p>
    <w:p>
      <w:pPr>
        <w:spacing w:before="0" w:after="0" w:line="408" w:lineRule="exact"/>
        <w:ind w:left="0" w:right="0" w:firstLine="576"/>
        <w:jc w:val="left"/>
      </w:pPr>
      <w:r>
        <w:rPr/>
        <w:t xml:space="preserve">(ii) An operations and business plan that defines benchmarks, including possible changes to resource allocations;</w:t>
      </w:r>
    </w:p>
    <w:p>
      <w:pPr>
        <w:spacing w:before="0" w:after="0" w:line="408" w:lineRule="exact"/>
        <w:ind w:left="0" w:right="0" w:firstLine="576"/>
        <w:jc w:val="left"/>
      </w:pPr>
      <w:r>
        <w:rPr/>
        <w:t xml:space="preserve">(iii) Review of the estimated costs avoided by the state with the reduction of recidivism and conduct an analysis of costs savings reinvestment options; and</w:t>
      </w:r>
    </w:p>
    <w:p>
      <w:pPr>
        <w:spacing w:before="0" w:after="0" w:line="408" w:lineRule="exact"/>
        <w:ind w:left="0" w:right="0" w:firstLine="576"/>
        <w:jc w:val="left"/>
      </w:pPr>
      <w:r>
        <w:rPr/>
        <w:t xml:space="preserve">(iv) A clearly defined path for geographic consistency and court alternatives and training needs; and</w:t>
      </w:r>
    </w:p>
    <w:p>
      <w:pPr>
        <w:spacing w:before="0" w:after="0" w:line="408" w:lineRule="exact"/>
        <w:ind w:left="0" w:right="0" w:firstLine="576"/>
        <w:jc w:val="left"/>
      </w:pPr>
      <w:r>
        <w:rPr/>
        <w:t xml:space="preserve">(c) Provide status update reports to the appropriate committees of the legislature on or before December 1, 2023, December 1, 2024, and December 1, 2025.</w:t>
      </w:r>
    </w:p>
    <w:p>
      <w:pPr>
        <w:spacing w:before="0" w:after="0" w:line="408" w:lineRule="exact"/>
        <w:ind w:left="0" w:right="0" w:firstLine="576"/>
        <w:jc w:val="left"/>
      </w:pPr>
      <w:r>
        <w:rPr/>
        <w:t xml:space="preserve">(2) The office of juvenile justice within the department shall review the December 1, 2022, report, the plan for expansion, the necessary funding, and the subsequent status reports as required by subsection (1) of this section to determine whether adequate funding and supports are in place to implement the expansion of juvenile jurisdiction to encompass persons 18 and 19 years of age in accordance with the effective date of this section, and shall:</w:t>
      </w:r>
    </w:p>
    <w:p>
      <w:pPr>
        <w:spacing w:before="0" w:after="0" w:line="408" w:lineRule="exact"/>
        <w:ind w:left="0" w:right="0" w:firstLine="576"/>
        <w:jc w:val="left"/>
      </w:pPr>
      <w:r>
        <w:rPr/>
        <w:t xml:space="preserve">(a) On or before December 1, 2023, December 1, 2024, and December 1, 2025, issue findings as to whether the milestones identified in subsection (1)(b) of this section related to operations and policy have been met and whether an appropriate funding plan has been developed; and</w:t>
      </w:r>
    </w:p>
    <w:p>
      <w:pPr>
        <w:spacing w:before="0" w:after="0" w:line="408" w:lineRule="exact"/>
        <w:ind w:left="0" w:right="0" w:firstLine="576"/>
        <w:jc w:val="left"/>
      </w:pPr>
      <w:r>
        <w:rPr/>
        <w:t xml:space="preserve">(b) On or before December 1, 2022, December 1, 2023, December 1, 2024, and December 1, 2025, recommend legislation to amend the timeline for the rollout of the expansion unless adequate funding and supports for the expansion are available and milestones related to policy and operations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7, 9, 11, 13, 15, 17, 19, and 21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7, 9, 11, 13, 15, 17, 19, and 21 of this act expire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6, 8, 10, 12, 14, 16, 18, 20, and 22 of this act take effect January 1, 2025.</w:t>
      </w:r>
    </w:p>
    <w:p/>
    <w:p>
      <w:pPr>
        <w:jc w:val="center"/>
      </w:pPr>
      <w:r>
        <w:rPr>
          <w:b/>
        </w:rPr>
        <w:t>--- END ---</w:t>
      </w:r>
    </w:p>
    <w:sectPr>
      <w:pgNumType w:start="1"/>
      <w:footerReference xmlns:r="http://schemas.openxmlformats.org/officeDocument/2006/relationships" r:id="Re82af0f0b6e54d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e6bbc873d748b1" /><Relationship Type="http://schemas.openxmlformats.org/officeDocument/2006/relationships/footer" Target="/word/footer1.xml" Id="Re82af0f0b6e54d72" /></Relationships>
</file>