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121657f3b4b22" /></Relationships>
</file>

<file path=word/document.xml><?xml version="1.0" encoding="utf-8"?>
<w:document xmlns:w="http://schemas.openxmlformats.org/wordprocessingml/2006/main">
  <w:body>
    <w:p>
      <w:r>
        <w:t>S-0117.1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5146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 Van De Wege</w:t>
      </w:r>
    </w:p>
    <w:p/>
    <w:p>
      <w:r>
        <w:rPr>
          <w:t xml:space="preserve">Read first time 01/12/21.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the fish and wildlife commission to indemnify the federal government as a condition of securing certain funds; and amending RCW 77.12.320.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320</w:t>
      </w:r>
      <w:r>
        <w:rPr/>
        <w:t xml:space="preserve"> and 2001 c 253 s 19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 may make agreements with persons, political subdivisions of this state, or the United States or its agencies or instrumentalities, regarding fish, shellfish, and wildlife-oriented recreation and the propagation, protection, conservation, and control of fish, shellfish, and wildlife.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director may make written agreements with the owners or lessees of real or personal property to provide for the use of the property for fish, shellfish, and wildlife-oriented recreation. The director may adopt rules governing the conduct of persons in or on the real property.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director may accept compensation for fish, shellfish, and wildlife losses or gifts or grants of personal property for use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The commission may indemnify the United States and its agencies as a condition of securing federal funds for purposes of fish, shellfish, and wildlife projects.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3574a8b09e7468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5146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677ef407847aa" /><Relationship Type="http://schemas.openxmlformats.org/officeDocument/2006/relationships/footer" Target="/word/footer1.xml" Id="R33574a8b09e74681" /></Relationships>
</file>