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282a54eec241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Kuderer, Wellman, Das, and Pedersen)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prejudgment interest; amending RCW 4.56.110; and repealing RCW 4.56.111.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2019 c 371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w:t>
      </w:r>
      <w:r>
        <w:t>((</w:t>
      </w:r>
      <w:r>
        <w:rPr>
          <w:strike/>
        </w:rPr>
        <w:t xml:space="preserve">founded on the tortious conduct of individuals or other entities, whether acting in their personal or representative capacities,</w:t>
      </w:r>
      <w:r>
        <w:t>))</w:t>
      </w:r>
      <w:r>
        <w:rPr/>
        <w:t xml:space="preserve"> </w:t>
      </w:r>
      <w:r>
        <w:rPr>
          <w:u w:val="single"/>
        </w:rPr>
        <w:t xml:space="preserve">for medical malpractice claims</w:t>
      </w:r>
      <w:r>
        <w:rPr/>
        <w:t xml:space="preserve">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u w:val="single"/>
        </w:rPr>
        <w:t xml:space="preserve">(c) Except as provided in (a) and (b) of this subsection, judgments founded on the tortious conduct of individuals or other entities, whether acting in their personal or representative capacities, shall bear interest from the date the cause of action accrued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(d) The provisions of (a) and (c) of this subsection apply to judgments entered following trial of the matter and arbitration awards. In all other judgments for types of actions in (a) and (c) of this subsection, interest accrues from the date of entry of judgment.</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t xml:space="preserve">(6) Except as provided under subsections (1) through (5)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111</w:t>
      </w:r>
      <w:r>
        <w:rPr/>
        <w:t xml:space="preserve"> (Interest on judgments</w:t>
      </w:r>
      <w:r>
        <w:rPr>
          <w:rFonts w:ascii="Times New Roman" w:hAnsi="Times New Roman"/>
        </w:rPr>
        <w:t xml:space="preserve">—</w:t>
      </w:r>
      <w:r>
        <w:rPr/>
        <w:t xml:space="preserve">Rate) and 2010 c 149 s 2 are each repealed.</w:t>
      </w:r>
    </w:p>
    <w:p/>
    <w:p>
      <w:pPr>
        <w:jc w:val="center"/>
      </w:pPr>
      <w:r>
        <w:rPr>
          <w:b/>
        </w:rPr>
        <w:t>--- END ---</w:t>
      </w:r>
    </w:p>
    <w:sectPr>
      <w:pgNumType w:start="1"/>
      <w:footerReference xmlns:r="http://schemas.openxmlformats.org/officeDocument/2006/relationships" r:id="Rd3ed24a590d045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702ea73d61445f" /><Relationship Type="http://schemas.openxmlformats.org/officeDocument/2006/relationships/footer" Target="/word/footer1.xml" Id="Rd3ed24a590d04536" /></Relationships>
</file>